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360" w:lineRule="auto"/>
        <w:jc w:val="center"/>
        <w:rPr>
          <w:b/>
          <w:color w:val="000000"/>
          <w:sz w:val="48"/>
          <w:szCs w:val="48"/>
        </w:rPr>
      </w:pPr>
      <w:r>
        <w:rPr>
          <w:rFonts w:hint="eastAsia"/>
          <w:b/>
          <w:color w:val="000000"/>
          <w:sz w:val="48"/>
          <w:szCs w:val="48"/>
        </w:rPr>
        <w:t>电感耦合等离子体串联质谱仪</w:t>
      </w:r>
    </w:p>
    <w:p>
      <w:pPr>
        <w:spacing w:line="360" w:lineRule="auto"/>
        <w:jc w:val="center"/>
        <w:rPr>
          <w:rFonts w:ascii="宋体" w:hAnsi="宋体"/>
          <w:b/>
          <w:bCs/>
          <w:color w:val="000000"/>
          <w:sz w:val="32"/>
          <w:szCs w:val="32"/>
        </w:rPr>
      </w:pPr>
      <w:r>
        <w:rPr>
          <w:rFonts w:hint="eastAsia" w:ascii="宋体" w:hAnsi="宋体"/>
          <w:b/>
          <w:bCs/>
          <w:color w:val="000000"/>
          <w:sz w:val="32"/>
          <w:szCs w:val="32"/>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spacing w:line="700" w:lineRule="exact"/>
        <w:jc w:val="cente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ascii="宋体" w:hAnsi="宋体"/>
          <w:b/>
          <w:bCs/>
          <w:color w:val="000000"/>
          <w:sz w:val="32"/>
        </w:rPr>
        <w:t>2021</w:t>
      </w:r>
      <w:r>
        <w:rPr>
          <w:rFonts w:hint="eastAsia" w:ascii="宋体" w:hAnsi="宋体"/>
          <w:b/>
          <w:bCs/>
          <w:color w:val="000000"/>
          <w:sz w:val="32"/>
        </w:rPr>
        <w:t>年</w:t>
      </w:r>
      <w:r>
        <w:rPr>
          <w:rFonts w:ascii="宋体" w:hAnsi="宋体"/>
          <w:b/>
          <w:bCs/>
          <w:color w:val="000000"/>
          <w:sz w:val="32"/>
        </w:rPr>
        <w:t>0</w:t>
      </w:r>
      <w:r>
        <w:rPr>
          <w:rFonts w:hint="eastAsia" w:ascii="宋体" w:hAnsi="宋体"/>
          <w:b/>
          <w:bCs/>
          <w:color w:val="000000"/>
          <w:sz w:val="32"/>
        </w:rPr>
        <w:t>4月</w:t>
      </w:r>
    </w:p>
    <w:p>
      <w:pPr>
        <w:pStyle w:val="8"/>
        <w:spacing w:line="360" w:lineRule="auto"/>
        <w:ind w:left="210" w:leftChars="100"/>
        <w:jc w:val="center"/>
        <w:rPr>
          <w:rFonts w:ascii="宋体" w:hAnsi="宋体" w:eastAsia="宋体"/>
          <w:color w:val="000000"/>
        </w:rPr>
      </w:pPr>
    </w:p>
    <w:p>
      <w:pPr>
        <w:pStyle w:val="8"/>
        <w:spacing w:line="360" w:lineRule="auto"/>
        <w:ind w:left="0" w:leftChars="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……………………………………22</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……………………………26</w:t>
      </w:r>
    </w:p>
    <w:p>
      <w:pPr>
        <w:tabs>
          <w:tab w:val="left" w:pos="7200"/>
        </w:tabs>
        <w:jc w:val="center"/>
        <w:rPr>
          <w:rFonts w:ascii="宋体" w:hAnsi="宋体"/>
          <w:bCs/>
          <w:color w:val="000000"/>
          <w:sz w:val="32"/>
        </w:rPr>
      </w:pPr>
    </w:p>
    <w:p>
      <w:pPr>
        <w:jc w:val="cente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……………………29</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b/>
          <w:color w:val="000000"/>
          <w:sz w:val="24"/>
        </w:rPr>
        <w:t>电感耦合等离子体串联质谱仪</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衢院招2021-13</w:t>
      </w:r>
    </w:p>
    <w:p>
      <w:pPr>
        <w:spacing w:line="360" w:lineRule="auto"/>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、项目名称：电感耦合等离子体串联质谱仪</w:t>
      </w:r>
    </w:p>
    <w:p>
      <w:pPr>
        <w:spacing w:line="360" w:lineRule="auto"/>
        <w:ind w:firstLine="495"/>
        <w:rPr>
          <w:rFonts w:ascii="宋体" w:hAnsi="宋体"/>
          <w:bCs/>
          <w:color w:val="000000"/>
          <w:sz w:val="24"/>
        </w:rPr>
      </w:pPr>
      <w:r>
        <w:rPr>
          <w:rFonts w:hint="eastAsia" w:ascii="宋体" w:hAnsi="宋体" w:cs="宋体"/>
          <w:b/>
          <w:color w:val="000000"/>
          <w:kern w:val="0"/>
          <w:sz w:val="24"/>
        </w:rPr>
        <w:t>三、项目概况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b/>
                <w:color w:val="000000"/>
                <w:sz w:val="24"/>
              </w:rPr>
            </w:pPr>
            <w:r>
              <w:rPr>
                <w:rFonts w:hint="eastAsia" w:ascii="宋体" w:hAnsi="宋体"/>
                <w:b/>
                <w:color w:val="000000"/>
                <w:sz w:val="24"/>
              </w:rPr>
              <w:t>电感耦合等离子体串联质谱仪</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套</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40</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napToGrid w:val="0"/>
        <w:spacing w:line="360" w:lineRule="auto"/>
        <w:ind w:firstLine="480" w:firstLineChars="200"/>
        <w:rPr>
          <w:rFonts w:ascii="宋体" w:hAnsi="宋体"/>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spacing w:line="360" w:lineRule="auto"/>
        <w:ind w:firstLine="480" w:firstLineChars="200"/>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）或衢州市财政局网（czj.qz.gov.cn），衢州学院招标采购网（http://zbcg.qzc.edu.cn）免费下载。</w:t>
      </w:r>
    </w:p>
    <w:p>
      <w:pPr>
        <w:pStyle w:val="11"/>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1"/>
        <w:spacing w:before="0" w:beforeAutospacing="0" w:after="0" w:afterAutospacing="0" w:line="360" w:lineRule="auto"/>
        <w:ind w:firstLine="482" w:firstLineChars="200"/>
        <w:jc w:val="both"/>
        <w:rPr>
          <w:rFonts w:cs="仿宋_GB2312"/>
          <w:b/>
          <w:color w:val="000000"/>
        </w:rPr>
      </w:pPr>
      <w:r>
        <w:rPr>
          <w:rFonts w:hint="eastAsia" w:cs="仿宋_GB2312"/>
          <w:b/>
          <w:color w:val="000000"/>
        </w:rPr>
        <w:t>七、递交投标文件截止及开标时间：2021年5月6日14:00时（北京时间）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kern w:val="0"/>
          <w:sz w:val="24"/>
        </w:rPr>
      </w:pPr>
      <w:r>
        <w:rPr>
          <w:rFonts w:hint="eastAsia" w:ascii="宋体" w:hAnsi="宋体" w:cs="宋体"/>
          <w:b/>
          <w:sz w:val="24"/>
        </w:rPr>
        <w:t>八</w:t>
      </w:r>
      <w:r>
        <w:rPr>
          <w:rFonts w:ascii="宋体" w:hAnsi="宋体" w:cs="宋体"/>
          <w:b/>
          <w:sz w:val="24"/>
        </w:rPr>
        <w:t>、</w:t>
      </w:r>
      <w:r>
        <w:rPr>
          <w:rFonts w:hint="eastAsia" w:ascii="宋体" w:hAnsi="宋体" w:cs="宋体"/>
          <w:b/>
          <w:bCs/>
          <w:kern w:val="0"/>
          <w:sz w:val="24"/>
        </w:rPr>
        <w:t>开标地点</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开标地点：</w:t>
      </w:r>
      <w:r>
        <w:rPr>
          <w:rFonts w:ascii="宋体" w:hAnsi="宋体" w:cs="宋体"/>
          <w:kern w:val="0"/>
          <w:sz w:val="24"/>
        </w:rPr>
        <w:t>衢州学院开标室（行政楼12</w:t>
      </w:r>
      <w:r>
        <w:rPr>
          <w:rFonts w:hint="eastAsia" w:ascii="宋体" w:hAnsi="宋体" w:cs="宋体"/>
          <w:kern w:val="0"/>
          <w:sz w:val="24"/>
        </w:rPr>
        <w:t>1</w:t>
      </w:r>
      <w:r>
        <w:rPr>
          <w:rFonts w:ascii="宋体" w:hAnsi="宋体" w:cs="宋体"/>
          <w:kern w:val="0"/>
          <w:sz w:val="24"/>
        </w:rPr>
        <w:t>室）</w:t>
      </w:r>
      <w:r>
        <w:rPr>
          <w:rFonts w:hint="eastAsia" w:ascii="宋体" w:hAnsi="宋体" w:cs="宋体"/>
          <w:kern w:val="0"/>
          <w:sz w:val="24"/>
        </w:rPr>
        <w:t>。</w:t>
      </w:r>
    </w:p>
    <w:p>
      <w:pPr>
        <w:pStyle w:val="11"/>
        <w:spacing w:before="0" w:beforeAutospacing="0" w:after="0" w:afterAutospacing="0" w:line="360" w:lineRule="auto"/>
        <w:ind w:firstLine="482" w:firstLineChars="200"/>
        <w:jc w:val="both"/>
        <w:rPr>
          <w:b/>
        </w:rPr>
      </w:pPr>
      <w:r>
        <w:rPr>
          <w:rFonts w:hint="eastAsia"/>
          <w:b/>
        </w:rPr>
        <w:t>九、投标保证金</w:t>
      </w:r>
    </w:p>
    <w:p>
      <w:pPr>
        <w:snapToGrid w:val="0"/>
        <w:spacing w:line="360" w:lineRule="auto"/>
        <w:ind w:firstLine="480" w:firstLineChars="200"/>
        <w:rPr>
          <w:rFonts w:ascii="宋体" w:hAnsi="宋体"/>
          <w:kern w:val="0"/>
          <w:sz w:val="24"/>
        </w:rPr>
      </w:pPr>
      <w:r>
        <w:rPr>
          <w:rFonts w:hint="eastAsia" w:ascii="宋体" w:hAnsi="宋体"/>
          <w:kern w:val="0"/>
          <w:sz w:val="24"/>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0570-80</w:t>
      </w:r>
      <w:r>
        <w:rPr>
          <w:rFonts w:hint="eastAsia" w:ascii="宋体" w:hAnsi="宋体"/>
          <w:sz w:val="24"/>
        </w:rPr>
        <w:t>15028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十三、本招标文件由衢州学院采购中心、化学与材料工程</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采购中心联系人：周老师；电话（传真）：0570-8015042。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：林老师</w:t>
      </w:r>
      <w:r>
        <w:rPr>
          <w:rFonts w:hint="eastAsia" w:ascii="宋体" w:hAnsi="宋体"/>
          <w:bCs/>
          <w:color w:val="000000"/>
          <w:sz w:val="24"/>
        </w:rPr>
        <w:t>，电话：</w:t>
      </w:r>
      <w:r>
        <w:rPr>
          <w:rFonts w:ascii="宋体" w:hAnsi="宋体"/>
          <w:bCs/>
          <w:color w:val="000000"/>
          <w:sz w:val="24"/>
        </w:rPr>
        <w:t>13859069373</w:t>
      </w:r>
      <w:r>
        <w:rPr>
          <w:rFonts w:hint="eastAsia" w:ascii="宋体" w:hAnsi="宋体"/>
          <w:bCs/>
          <w:color w:val="000000"/>
          <w:sz w:val="24"/>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right="480" w:firstLine="495"/>
        <w:jc w:val="right"/>
        <w:rPr>
          <w:rFonts w:ascii="宋体" w:hAnsi="宋体"/>
          <w:bCs/>
          <w:sz w:val="24"/>
        </w:rPr>
      </w:pPr>
    </w:p>
    <w:p>
      <w:pPr>
        <w:spacing w:line="360" w:lineRule="auto"/>
        <w:ind w:firstLine="495"/>
        <w:jc w:val="right"/>
        <w:rPr>
          <w:rFonts w:ascii="宋体" w:hAnsi="宋体"/>
          <w:bCs/>
          <w:sz w:val="24"/>
        </w:rPr>
      </w:pPr>
    </w:p>
    <w:p>
      <w:pPr>
        <w:spacing w:line="360" w:lineRule="auto"/>
        <w:ind w:firstLine="495"/>
        <w:jc w:val="right"/>
        <w:rPr>
          <w:rFonts w:ascii="宋体" w:hAnsi="宋体"/>
          <w:bCs/>
          <w:sz w:val="24"/>
        </w:rPr>
      </w:pPr>
      <w:r>
        <w:rPr>
          <w:rFonts w:hint="eastAsia" w:ascii="宋体" w:hAnsi="宋体"/>
          <w:bCs/>
          <w:sz w:val="24"/>
        </w:rPr>
        <w:t>衢州学院采购中心</w:t>
      </w:r>
    </w:p>
    <w:p>
      <w:pPr>
        <w:spacing w:line="360" w:lineRule="auto"/>
        <w:ind w:firstLine="495"/>
        <w:jc w:val="right"/>
        <w:rPr>
          <w:rFonts w:ascii="宋体" w:hAnsi="宋体"/>
          <w:bCs/>
          <w:sz w:val="24"/>
        </w:rPr>
      </w:pPr>
      <w:r>
        <w:rPr>
          <w:rFonts w:ascii="宋体" w:hAnsi="宋体"/>
          <w:bCs/>
          <w:sz w:val="24"/>
        </w:rPr>
        <w:t>2021</w:t>
      </w:r>
      <w:r>
        <w:rPr>
          <w:rFonts w:hint="eastAsia" w:ascii="宋体" w:hAnsi="宋体"/>
          <w:bCs/>
          <w:sz w:val="24"/>
        </w:rPr>
        <w:t>年4月1</w:t>
      </w:r>
      <w:r>
        <w:rPr>
          <w:rFonts w:hint="eastAsia" w:ascii="宋体" w:hAnsi="宋体"/>
          <w:bCs/>
          <w:sz w:val="24"/>
          <w:lang w:val="en-US" w:eastAsia="zh-CN"/>
        </w:rPr>
        <w:t>3</w:t>
      </w:r>
      <w:r>
        <w:rPr>
          <w:rFonts w:hint="eastAsia" w:ascii="宋体" w:hAnsi="宋体"/>
          <w:bCs/>
          <w:sz w:val="24"/>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w:t>
      </w:r>
      <w:r>
        <w:rPr>
          <w:rFonts w:hint="eastAsia" w:ascii="宋体" w:hAnsi="宋体" w:cs="仿宋_GB2312"/>
          <w:color w:val="FF0000"/>
          <w:sz w:val="24"/>
        </w:rPr>
        <w:t>按照本招标文件和电子交易平台的要求编制并加密投标文件。未按规定加密的投标文件，将被电子交易平台拒收。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000000"/>
                <w:kern w:val="0"/>
                <w:sz w:val="24"/>
                <w:lang w:val="zh-CN"/>
              </w:rPr>
              <w:t>2018年</w:t>
            </w:r>
            <w:r>
              <w:rPr>
                <w:rFonts w:hint="eastAsia" w:ascii="宋体" w:hAnsi="宋体"/>
                <w:bCs/>
                <w:color w:val="000000"/>
                <w:kern w:val="0"/>
                <w:sz w:val="24"/>
                <w:lang w:val="zh-CN"/>
              </w:rPr>
              <w:t>1</w:t>
            </w:r>
            <w:r>
              <w:rPr>
                <w:rFonts w:ascii="宋体" w:hAnsi="宋体"/>
                <w:bCs/>
                <w:color w:val="000000"/>
                <w:kern w:val="0"/>
                <w:sz w:val="24"/>
                <w:lang w:val="zh-CN"/>
              </w:rPr>
              <w:t>月</w:t>
            </w:r>
            <w:r>
              <w:rPr>
                <w:rFonts w:hint="eastAsia" w:ascii="宋体" w:hAnsi="宋体"/>
                <w:bCs/>
                <w:color w:val="000000"/>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tcPr>
          <w:p>
            <w:pPr>
              <w:autoSpaceDE w:val="0"/>
              <w:autoSpaceDN w:val="0"/>
              <w:adjustRightInd w:val="0"/>
              <w:spacing w:line="360" w:lineRule="auto"/>
              <w:jc w:val="center"/>
              <w:rPr>
                <w:rFonts w:ascii="宋体" w:hAnsi="宋体"/>
                <w:sz w:val="24"/>
              </w:rPr>
            </w:pPr>
            <w:r>
              <w:rPr>
                <w:rFonts w:hint="eastAsia"/>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sz w:val="24"/>
              </w:rPr>
              <w:t>3-</w:t>
            </w:r>
            <w:r>
              <w:rPr>
                <w:rFonts w:hint="eastAsia"/>
                <w:sz w:val="24"/>
              </w:rPr>
              <w:t>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snapToGrid w:val="0"/>
        <w:spacing w:line="360" w:lineRule="auto"/>
        <w:ind w:firstLine="480" w:firstLineChars="200"/>
        <w:rPr>
          <w:rFonts w:ascii="宋体" w:hAnsi="宋体"/>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按照本招标文件和电子交易平台的要求编制并加密投标文件。未按规定加密的投标文件，将被电子交易平台拒收。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olor w:val="FF0000"/>
          <w:sz w:val="24"/>
        </w:rPr>
      </w:pPr>
      <w:r>
        <w:rPr>
          <w:rFonts w:hint="eastAsia" w:ascii="宋体" w:hAnsi="宋体"/>
          <w:color w:val="FF0000"/>
          <w:sz w:val="24"/>
        </w:rPr>
        <w:t>11.电子投标文件解密失败的；</w:t>
      </w:r>
    </w:p>
    <w:p>
      <w:pPr>
        <w:tabs>
          <w:tab w:val="left" w:pos="1325"/>
        </w:tabs>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(1)银行转账。必须注明“衢州学院+项目名称+履约保证金”；开户单位：衢州市财政局非税收入待清算专户；开户银行：中国农业银行衢州分行营业中心；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color w:val="FF0000"/>
          <w:kern w:val="0"/>
          <w:sz w:val="24"/>
        </w:rPr>
        <w:t>2020</w:t>
      </w:r>
      <w:r>
        <w:rPr>
          <w:rFonts w:hint="eastAsia" w:ascii="宋体" w:hAnsi="宋体"/>
          <w:b/>
          <w:color w:val="FF0000"/>
          <w:kern w:val="0"/>
          <w:sz w:val="24"/>
        </w:rPr>
        <w:t>年</w:t>
      </w:r>
      <w:r>
        <w:rPr>
          <w:rFonts w:ascii="宋体" w:hAnsi="宋体"/>
          <w:b/>
          <w:color w:val="FF0000"/>
          <w:kern w:val="0"/>
          <w:sz w:val="24"/>
        </w:rPr>
        <w:t>1</w:t>
      </w:r>
      <w:r>
        <w:rPr>
          <w:rFonts w:hint="eastAsia" w:ascii="宋体" w:hAnsi="宋体"/>
          <w:b/>
          <w:color w:val="FF0000"/>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合同签订后</w:t>
      </w:r>
      <w:r>
        <w:rPr>
          <w:rFonts w:ascii="宋体" w:hAnsi="宋体"/>
          <w:b/>
          <w:bCs/>
          <w:color w:val="000000" w:themeColor="text1"/>
          <w:kern w:val="0"/>
          <w:sz w:val="24"/>
          <w14:textFill>
            <w14:solidFill>
              <w14:schemeClr w14:val="tx1"/>
            </w14:solidFill>
          </w14:textFill>
        </w:rPr>
        <w:t>160</w:t>
      </w:r>
      <w:r>
        <w:rPr>
          <w:rFonts w:hint="eastAsia" w:ascii="宋体" w:hAnsi="宋体"/>
          <w:b/>
          <w:bCs/>
          <w:color w:val="000000" w:themeColor="text1"/>
          <w:kern w:val="0"/>
          <w:sz w:val="24"/>
          <w14:textFill>
            <w14:solidFill>
              <w14:schemeClr w14:val="tx1"/>
            </w14:solidFill>
          </w14:textFill>
        </w:rPr>
        <w:t>天</w:t>
      </w:r>
      <w:r>
        <w:rPr>
          <w:rFonts w:hint="eastAsia" w:ascii="宋体" w:hAnsi="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themeColor="text1"/>
          <w:kern w:val="0"/>
          <w:sz w:val="24"/>
          <w14:textFill>
            <w14:solidFill>
              <w14:schemeClr w14:val="tx1"/>
            </w14:solidFill>
          </w14:textFill>
        </w:rPr>
        <w:t>1.从验收合格之日起，质保期</w:t>
      </w:r>
      <w:r>
        <w:rPr>
          <w:rFonts w:hint="eastAsia" w:ascii="宋体" w:hAnsi="宋体"/>
          <w:b/>
          <w:bCs/>
          <w:color w:val="000000" w:themeColor="text1"/>
          <w:kern w:val="0"/>
          <w:sz w:val="24"/>
          <w14:textFill>
            <w14:solidFill>
              <w14:schemeClr w14:val="tx1"/>
            </w14:solidFill>
          </w14:textFill>
        </w:rPr>
        <w:t>1年</w:t>
      </w:r>
      <w:r>
        <w:rPr>
          <w:rFonts w:hint="eastAsia" w:ascii="宋体" w:hAnsi="宋体"/>
          <w:color w:val="000000" w:themeColor="text1"/>
          <w:kern w:val="0"/>
          <w:sz w:val="24"/>
          <w14:textFill>
            <w14:solidFill>
              <w14:schemeClr w14:val="tx1"/>
            </w14:solidFill>
          </w14:textFill>
        </w:rPr>
        <w:t>。供方须负责对其提供的产品提供现场服务。要</w:t>
      </w:r>
      <w:r>
        <w:rPr>
          <w:rFonts w:hint="eastAsia" w:ascii="宋体" w:hAnsi="宋体"/>
          <w:color w:val="000000"/>
          <w:kern w:val="0"/>
          <w:sz w:val="24"/>
        </w:rPr>
        <w:t>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项目技术答疑联系人：林老师，电话：</w:t>
      </w:r>
      <w:r>
        <w:rPr>
          <w:rFonts w:ascii="宋体" w:hAnsi="宋体" w:cs="Arial"/>
          <w:color w:val="000000"/>
          <w:kern w:val="0"/>
          <w:sz w:val="24"/>
        </w:rPr>
        <w:t>13859069373</w:t>
      </w:r>
      <w:r>
        <w:rPr>
          <w:rFonts w:hint="eastAsia" w:ascii="宋体" w:hAnsi="宋体"/>
          <w:bCs/>
          <w:color w:val="00000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widowControl/>
        <w:jc w:val="left"/>
        <w:rPr>
          <w:rFonts w:ascii="宋体" w:hAnsi="宋体"/>
          <w:b/>
          <w:bCs/>
          <w:color w:val="000000"/>
          <w:sz w:val="32"/>
        </w:rPr>
      </w:pPr>
    </w:p>
    <w:bookmarkEnd w:id="4"/>
    <w:p>
      <w:pPr>
        <w:spacing w:line="360" w:lineRule="auto"/>
        <w:jc w:val="center"/>
        <w:rPr>
          <w:rFonts w:ascii="宋体" w:hAnsi="宋体"/>
          <w:b/>
          <w:bCs/>
          <w:color w:val="000000"/>
          <w:sz w:val="24"/>
        </w:rPr>
      </w:pPr>
      <w:r>
        <w:rPr>
          <w:rFonts w:hint="eastAsia" w:ascii="宋体" w:hAnsi="宋体"/>
          <w:b/>
          <w:color w:val="000000"/>
          <w:sz w:val="32"/>
          <w:szCs w:val="32"/>
        </w:rPr>
        <w:t>第</w:t>
      </w:r>
      <w:r>
        <w:rPr>
          <w:rFonts w:ascii="宋体" w:hAnsi="宋体"/>
          <w:b/>
          <w:color w:val="000000"/>
          <w:sz w:val="32"/>
          <w:szCs w:val="32"/>
        </w:rPr>
        <w:t>三章 采购内容及要求</w:t>
      </w:r>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rFonts w:ascii="宋体" w:hAnsi="宋体"/>
          <w:b/>
          <w:color w:val="000000"/>
          <w:sz w:val="24"/>
        </w:rPr>
      </w:pPr>
      <w:r>
        <w:rPr>
          <w:rFonts w:hint="eastAsia" w:ascii="宋体" w:hAnsi="宋体"/>
          <w:b/>
          <w:color w:val="000000"/>
          <w:sz w:val="24"/>
        </w:rPr>
        <w:t>一、</w:t>
      </w:r>
      <w:r>
        <w:rPr>
          <w:rFonts w:ascii="宋体" w:hAnsi="宋体"/>
          <w:b/>
          <w:color w:val="000000"/>
          <w:sz w:val="24"/>
        </w:rPr>
        <w:t>采购内容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702"/>
        <w:gridCol w:w="135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60" w:type="dxa"/>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3702" w:type="dxa"/>
            <w:vAlign w:val="center"/>
          </w:tcPr>
          <w:p>
            <w:pPr>
              <w:spacing w:line="360" w:lineRule="auto"/>
              <w:jc w:val="center"/>
              <w:rPr>
                <w:rFonts w:ascii="宋体" w:hAnsi="宋体"/>
                <w:color w:val="000000"/>
                <w:sz w:val="24"/>
              </w:rPr>
            </w:pPr>
            <w:r>
              <w:rPr>
                <w:rFonts w:hint="eastAsia" w:ascii="宋体" w:hAnsi="宋体"/>
                <w:color w:val="000000"/>
                <w:sz w:val="24"/>
              </w:rPr>
              <w:t>采购设备名称</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单位</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60" w:type="dxa"/>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3702" w:type="dxa"/>
            <w:vAlign w:val="center"/>
          </w:tcPr>
          <w:p>
            <w:pPr>
              <w:spacing w:line="360" w:lineRule="auto"/>
              <w:jc w:val="center"/>
              <w:rPr>
                <w:rFonts w:ascii="宋体" w:hAnsi="宋体"/>
                <w:color w:val="000000"/>
                <w:sz w:val="24"/>
              </w:rPr>
            </w:pPr>
            <w:r>
              <w:t>电感耦合等离子体</w:t>
            </w:r>
            <w:r>
              <w:rPr>
                <w:rFonts w:hint="eastAsia"/>
              </w:rPr>
              <w:t>串联</w:t>
            </w:r>
            <w:r>
              <w:t>质谱仪</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套</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1</w:t>
            </w:r>
          </w:p>
        </w:tc>
      </w:tr>
    </w:tbl>
    <w:p>
      <w:pPr>
        <w:spacing w:line="360" w:lineRule="auto"/>
        <w:ind w:firstLine="482" w:firstLineChars="200"/>
        <w:rPr>
          <w:rFonts w:ascii="宋体" w:hAnsi="宋体"/>
          <w:b/>
          <w:color w:val="000000"/>
          <w:sz w:val="24"/>
        </w:rPr>
      </w:pPr>
      <w:r>
        <w:rPr>
          <w:rFonts w:hint="eastAsia" w:ascii="宋体" w:hAnsi="宋体"/>
          <w:b/>
          <w:color w:val="000000"/>
          <w:sz w:val="24"/>
        </w:rPr>
        <w:t>二</w:t>
      </w:r>
      <w:r>
        <w:rPr>
          <w:rFonts w:ascii="宋体" w:hAnsi="宋体"/>
          <w:b/>
          <w:color w:val="000000"/>
          <w:sz w:val="24"/>
        </w:rPr>
        <w:t>、主要技术参数</w:t>
      </w:r>
      <w:r>
        <w:rPr>
          <w:rFonts w:hint="eastAsia" w:ascii="宋体" w:hAnsi="宋体"/>
          <w:b/>
          <w:color w:val="000000"/>
          <w:sz w:val="24"/>
        </w:rPr>
        <w:t>要求</w:t>
      </w:r>
    </w:p>
    <w:p>
      <w:pPr>
        <w:pStyle w:val="7"/>
        <w:spacing w:line="360" w:lineRule="auto"/>
        <w:ind w:firstLine="482" w:firstLineChars="200"/>
        <w:rPr>
          <w:rFonts w:ascii="Times New Roman" w:hAnsi="Times New Roman"/>
          <w:b/>
          <w:bCs/>
          <w:sz w:val="24"/>
          <w:szCs w:val="24"/>
        </w:rPr>
      </w:pPr>
      <w:r>
        <w:rPr>
          <w:rFonts w:ascii="Times New Roman" w:hAnsi="Times New Roman"/>
          <w:b/>
          <w:bCs/>
          <w:sz w:val="24"/>
          <w:szCs w:val="24"/>
        </w:rPr>
        <w:t>1</w:t>
      </w:r>
      <w:r>
        <w:rPr>
          <w:rFonts w:hint="eastAsia" w:ascii="Times New Roman" w:hAnsi="Times New Roman"/>
          <w:b/>
          <w:bCs/>
          <w:sz w:val="24"/>
          <w:szCs w:val="24"/>
        </w:rPr>
        <w:t>.</w:t>
      </w:r>
      <w:r>
        <w:rPr>
          <w:rFonts w:ascii="Times New Roman" w:hAnsi="Times New Roman"/>
          <w:b/>
          <w:bCs/>
          <w:sz w:val="24"/>
          <w:szCs w:val="24"/>
        </w:rPr>
        <w:t>工作条件</w:t>
      </w:r>
    </w:p>
    <w:p>
      <w:pPr>
        <w:spacing w:line="360" w:lineRule="auto"/>
        <w:ind w:firstLine="480" w:firstLineChars="200"/>
        <w:rPr>
          <w:sz w:val="24"/>
        </w:rPr>
      </w:pPr>
      <w:r>
        <w:rPr>
          <w:sz w:val="24"/>
        </w:rPr>
        <w:t>1.1</w:t>
      </w:r>
      <w:r>
        <w:rPr>
          <w:sz w:val="24"/>
        </w:rPr>
        <w:tab/>
      </w:r>
      <w:r>
        <w:rPr>
          <w:sz w:val="24"/>
        </w:rPr>
        <w:t>工作环境温度：15-30℃</w:t>
      </w:r>
    </w:p>
    <w:p>
      <w:pPr>
        <w:spacing w:line="360" w:lineRule="auto"/>
        <w:ind w:firstLine="480" w:firstLineChars="200"/>
        <w:rPr>
          <w:sz w:val="24"/>
        </w:rPr>
      </w:pPr>
      <w:r>
        <w:rPr>
          <w:sz w:val="24"/>
        </w:rPr>
        <w:t>1.2</w:t>
      </w:r>
      <w:r>
        <w:rPr>
          <w:sz w:val="24"/>
        </w:rPr>
        <w:tab/>
      </w:r>
      <w:r>
        <w:rPr>
          <w:sz w:val="24"/>
        </w:rPr>
        <w:t>工作环境湿度：</w:t>
      </w:r>
      <w:r>
        <w:rPr>
          <w:rFonts w:hint="eastAsia"/>
          <w:sz w:val="24"/>
        </w:rPr>
        <w:t>&lt;</w:t>
      </w:r>
      <w:r>
        <w:rPr>
          <w:sz w:val="24"/>
        </w:rPr>
        <w:t xml:space="preserve"> 80% (</w:t>
      </w:r>
      <w:r>
        <w:rPr>
          <w:rFonts w:hint="eastAsia"/>
          <w:sz w:val="24"/>
        </w:rPr>
        <w:t>无冷凝</w:t>
      </w:r>
      <w:r>
        <w:rPr>
          <w:sz w:val="24"/>
        </w:rPr>
        <w:t>)</w:t>
      </w:r>
    </w:p>
    <w:p>
      <w:pPr>
        <w:spacing w:line="360" w:lineRule="auto"/>
        <w:ind w:firstLine="480" w:firstLineChars="200"/>
        <w:rPr>
          <w:sz w:val="24"/>
        </w:rPr>
      </w:pPr>
      <w:r>
        <w:rPr>
          <w:sz w:val="24"/>
        </w:rPr>
        <w:t>1.3</w:t>
      </w:r>
      <w:r>
        <w:rPr>
          <w:sz w:val="24"/>
        </w:rPr>
        <w:tab/>
      </w:r>
      <w:r>
        <w:rPr>
          <w:sz w:val="24"/>
        </w:rPr>
        <w:t>电源：200~240V，50/60 Hz</w:t>
      </w:r>
    </w:p>
    <w:p>
      <w:pPr>
        <w:spacing w:line="360" w:lineRule="auto"/>
        <w:ind w:firstLine="482" w:firstLineChars="200"/>
        <w:rPr>
          <w:b/>
          <w:bCs/>
          <w:sz w:val="24"/>
        </w:rPr>
      </w:pPr>
      <w:r>
        <w:rPr>
          <w:rFonts w:hint="eastAsia"/>
          <w:b/>
          <w:bCs/>
          <w:sz w:val="24"/>
        </w:rPr>
        <w:t>2.</w:t>
      </w:r>
      <w:r>
        <w:rPr>
          <w:b/>
          <w:bCs/>
          <w:sz w:val="24"/>
        </w:rPr>
        <w:t>技术指标</w:t>
      </w:r>
    </w:p>
    <w:p>
      <w:pPr>
        <w:pStyle w:val="11"/>
        <w:spacing w:before="0" w:beforeAutospacing="0" w:after="0" w:afterAutospacing="0" w:line="360" w:lineRule="auto"/>
        <w:ind w:firstLine="480" w:firstLineChars="200"/>
        <w:rPr>
          <w:rFonts w:ascii="Times New Roman" w:hAnsi="Times New Roman"/>
          <w:kern w:val="2"/>
        </w:rPr>
      </w:pPr>
      <w:r>
        <w:rPr>
          <w:rFonts w:hint="eastAsia" w:ascii="Times New Roman" w:hAnsi="Times New Roman"/>
          <w:kern w:val="2"/>
        </w:rPr>
        <w:t>2</w:t>
      </w:r>
      <w:r>
        <w:rPr>
          <w:rFonts w:ascii="Times New Roman" w:hAnsi="Times New Roman"/>
          <w:kern w:val="2"/>
        </w:rPr>
        <w:t>.1.</w:t>
      </w:r>
      <w:r>
        <w:rPr>
          <w:rFonts w:hint="eastAsia" w:ascii="Times New Roman" w:hAnsi="Times New Roman"/>
          <w:kern w:val="2"/>
        </w:rPr>
        <w:t>系统组成，</w:t>
      </w:r>
      <w:r>
        <w:t>本电感耦合等离子体</w:t>
      </w:r>
      <w:r>
        <w:rPr>
          <w:rFonts w:hint="eastAsia"/>
        </w:rPr>
        <w:t>串联</w:t>
      </w:r>
      <w:r>
        <w:t>质谱仪是指：</w:t>
      </w:r>
      <w:r>
        <w:rPr>
          <w:rFonts w:hint="eastAsia" w:ascii="Arial" w:cs="Arial"/>
        </w:rPr>
        <w:t>仪器质谱部分采用碰撞/反应池安装于两个独立的四极杆质量分析器（均可实现精确至1amu的单位质量过滤）之间的技术的电感耦合等离子体串联质谱仪</w:t>
      </w:r>
      <w:r>
        <w:t>。仪器由主机、化学工作站和相应的附件、备件组成；</w:t>
      </w:r>
    </w:p>
    <w:p>
      <w:pPr>
        <w:pStyle w:val="11"/>
        <w:spacing w:before="0" w:beforeAutospacing="0" w:after="0" w:afterAutospacing="0" w:line="360" w:lineRule="auto"/>
        <w:ind w:firstLine="480" w:firstLineChars="200"/>
        <w:rPr>
          <w:rFonts w:ascii="Times New Roman" w:hAnsi="Times New Roman"/>
          <w:kern w:val="2"/>
        </w:rPr>
      </w:pPr>
      <w:r>
        <w:rPr>
          <w:rFonts w:hint="eastAsia" w:ascii="Times New Roman" w:hAnsi="Times New Roman"/>
          <w:kern w:val="2"/>
        </w:rPr>
        <w:t>2</w:t>
      </w:r>
      <w:r>
        <w:rPr>
          <w:rFonts w:ascii="Times New Roman" w:hAnsi="Times New Roman"/>
          <w:kern w:val="2"/>
        </w:rPr>
        <w:t>.2.</w:t>
      </w:r>
      <w:r>
        <w:t>进样系统</w:t>
      </w:r>
    </w:p>
    <w:p>
      <w:pPr>
        <w:pStyle w:val="11"/>
        <w:spacing w:before="0" w:beforeAutospacing="0" w:after="0" w:afterAutospacing="0" w:line="360" w:lineRule="auto"/>
        <w:ind w:firstLine="482" w:firstLineChars="200"/>
        <w:rPr>
          <w:rFonts w:ascii="Times New Roman" w:hAnsi="Times New Roman"/>
        </w:rPr>
      </w:pPr>
      <w:r>
        <w:rPr>
          <w:rFonts w:hint="eastAsia"/>
          <w:b/>
          <w:color w:val="000000"/>
        </w:rPr>
        <w:t>▲</w:t>
      </w:r>
      <w:r>
        <w:rPr>
          <w:rFonts w:ascii="Times New Roman" w:hAnsi="Times New Roman"/>
          <w:kern w:val="2"/>
        </w:rPr>
        <w:t xml:space="preserve">2.2.1. </w:t>
      </w:r>
      <w:r>
        <w:t>雾化器</w:t>
      </w:r>
      <w:r>
        <w:rPr>
          <w:rFonts w:ascii="Times New Roman" w:hAnsi="Times New Roman"/>
        </w:rPr>
        <w:t>：PFA材质，耐HF酸高效同心雾化器；</w:t>
      </w:r>
    </w:p>
    <w:p>
      <w:pPr>
        <w:pStyle w:val="11"/>
        <w:spacing w:before="0" w:beforeAutospacing="0" w:after="0" w:afterAutospacing="0" w:line="360" w:lineRule="auto"/>
        <w:ind w:firstLine="482" w:firstLineChars="200"/>
        <w:rPr>
          <w:rFonts w:ascii="Times New Roman" w:hAnsi="Times New Roman"/>
          <w:color w:val="000000" w:themeColor="text1"/>
          <w14:textFill>
            <w14:solidFill>
              <w14:schemeClr w14:val="tx1"/>
            </w14:solidFill>
          </w14:textFill>
        </w:rPr>
      </w:pPr>
      <w:r>
        <w:rPr>
          <w:rFonts w:hint="eastAsia"/>
          <w:b/>
          <w:color w:val="000000"/>
        </w:rPr>
        <w:t>▲</w:t>
      </w:r>
      <w:r>
        <w:rPr>
          <w:rFonts w:ascii="Times New Roman" w:hAnsi="Times New Roman"/>
          <w:kern w:val="2"/>
        </w:rPr>
        <w:t xml:space="preserve">2.2.2. </w:t>
      </w:r>
      <w:r>
        <w:rPr>
          <w:rFonts w:ascii="Times New Roman" w:hAnsi="Times New Roman"/>
        </w:rPr>
        <w:t>雾室：Scott双通道PFA雾室，</w:t>
      </w:r>
      <w:r>
        <w:rPr>
          <w:rFonts w:ascii="Times New Roman" w:hAnsi="Times New Roman"/>
          <w:color w:val="000000" w:themeColor="text1"/>
          <w14:textFill>
            <w14:solidFill>
              <w14:schemeClr w14:val="tx1"/>
            </w14:solidFill>
          </w14:textFill>
        </w:rPr>
        <w:t>标配半导体控温雾室，</w:t>
      </w:r>
      <w:r>
        <w:rPr>
          <w:rFonts w:hint="eastAsia" w:ascii="Times New Roman" w:hAnsi="Times New Roman"/>
          <w:color w:val="000000" w:themeColor="text1"/>
          <w14:textFill>
            <w14:solidFill>
              <w14:schemeClr w14:val="tx1"/>
            </w14:solidFill>
          </w14:textFill>
        </w:rPr>
        <w:t>温度调节范围优于或等于</w:t>
      </w:r>
      <w:r>
        <w:rPr>
          <w:rFonts w:ascii="Times New Roman" w:hAnsi="Times New Roman"/>
          <w:color w:val="000000" w:themeColor="text1"/>
          <w14:textFill>
            <w14:solidFill>
              <w14:schemeClr w14:val="tx1"/>
            </w14:solidFill>
          </w14:textFill>
        </w:rPr>
        <w:t>-5⁓20℃</w:t>
      </w:r>
      <w:r>
        <w:rPr>
          <w:rFonts w:hint="eastAsia" w:ascii="Times New Roman" w:hAnsi="Times New Roman"/>
          <w:color w:val="000000" w:themeColor="text1"/>
          <w14:textFill>
            <w14:solidFill>
              <w14:schemeClr w14:val="tx1"/>
            </w14:solidFill>
          </w14:textFill>
        </w:rPr>
        <w:t>或优于此配置。</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2</w:t>
      </w:r>
      <w:r>
        <w:rPr>
          <w:rFonts w:ascii="Times New Roman" w:hAnsi="Times New Roman"/>
        </w:rPr>
        <w:t>.3.等离子体及RF发生器</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2.3.1</w:t>
      </w:r>
      <w:r>
        <w:rPr>
          <w:rFonts w:hint="eastAsia" w:ascii="Times New Roman" w:hAnsi="Times New Roman"/>
        </w:rPr>
        <w:t>.</w:t>
      </w:r>
      <w:r>
        <w:rPr>
          <w:rFonts w:ascii="Times New Roman" w:hAnsi="Times New Roman"/>
        </w:rPr>
        <w:t xml:space="preserve"> 数控式RF发生器，变频设计；</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2.3.2射频发生器能在100%有机溶剂与纯水之间切换不熄火；</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2.3.3. 射频线圈冷却采用水冷设计</w:t>
      </w:r>
      <w:r>
        <w:rPr>
          <w:rFonts w:hint="eastAsia" w:ascii="Times New Roman" w:hAnsi="Times New Roman"/>
        </w:rPr>
        <w:t>或涡轮齿轮自散热冷却</w:t>
      </w:r>
      <w:r>
        <w:rPr>
          <w:rFonts w:ascii="Times New Roman" w:hAnsi="Times New Roman"/>
        </w:rPr>
        <w:t>；</w:t>
      </w:r>
    </w:p>
    <w:p>
      <w:pPr>
        <w:pStyle w:val="11"/>
        <w:spacing w:before="0" w:beforeAutospacing="0" w:after="0" w:afterAutospacing="0" w:line="360" w:lineRule="auto"/>
        <w:ind w:firstLine="480" w:firstLineChars="200"/>
      </w:pPr>
      <w:r>
        <w:rPr>
          <w:rFonts w:ascii="Times New Roman" w:hAnsi="Times New Roman"/>
        </w:rPr>
        <w:t xml:space="preserve">2.3.4. </w:t>
      </w:r>
      <w:r>
        <w:t>等离子体炬位调整，由计算机自动三维 (</w:t>
      </w:r>
      <w:r>
        <w:rPr>
          <w:rFonts w:ascii="Times New Roman" w:hAnsi="Times New Roman"/>
        </w:rPr>
        <w:t>X/Y/Z</w:t>
      </w:r>
      <w:r>
        <w:t>方向) 控制；</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2.4.等离子气路：≥</w:t>
      </w:r>
      <w:r>
        <w:rPr>
          <w:rFonts w:ascii="Times New Roman" w:hAnsi="Times New Roman"/>
          <w:color w:val="000000" w:themeColor="text1"/>
          <w14:textFill>
            <w14:solidFill>
              <w14:schemeClr w14:val="tx1"/>
            </w14:solidFill>
          </w14:textFill>
        </w:rPr>
        <w:t>4</w:t>
      </w:r>
      <w:r>
        <w:rPr>
          <w:rFonts w:ascii="Times New Roman" w:hAnsi="Times New Roman"/>
        </w:rPr>
        <w:t>个高精度电子气体流量计(MFC)，精确控制冷却气、辅助气、雾化气、有机加氧</w:t>
      </w:r>
      <w:r>
        <w:rPr>
          <w:rFonts w:hint="eastAsia" w:ascii="Times New Roman" w:hAnsi="Times New Roman"/>
          <w:color w:val="000000" w:themeColor="text1"/>
          <w14:textFill>
            <w14:solidFill>
              <w14:schemeClr w14:val="tx1"/>
            </w14:solidFill>
          </w14:textFill>
        </w:rPr>
        <w:t>或</w:t>
      </w:r>
      <w:r>
        <w:rPr>
          <w:rFonts w:ascii="Times New Roman" w:hAnsi="Times New Roman"/>
        </w:rPr>
        <w:t>补偿气流量；</w:t>
      </w:r>
    </w:p>
    <w:p>
      <w:pPr>
        <w:pStyle w:val="11"/>
        <w:spacing w:before="0" w:beforeAutospacing="0" w:after="0" w:afterAutospacing="0" w:line="360" w:lineRule="auto"/>
        <w:ind w:firstLine="482" w:firstLineChars="200"/>
        <w:rPr>
          <w:rFonts w:ascii="Times New Roman" w:hAnsi="Times New Roman"/>
        </w:rPr>
      </w:pPr>
      <w:r>
        <w:rPr>
          <w:rFonts w:hint="eastAsia"/>
          <w:b/>
          <w:color w:val="000000"/>
        </w:rPr>
        <w:t>▲</w:t>
      </w:r>
      <w:r>
        <w:rPr>
          <w:rFonts w:ascii="Times New Roman" w:hAnsi="Times New Roman"/>
        </w:rPr>
        <w:t>2.5.接口：铂金材质采样锥和截取锥组成接口系统，采样锥孔径</w:t>
      </w:r>
      <w:r>
        <w:rPr>
          <w:rFonts w:hint="eastAsia" w:ascii="Times New Roman" w:hAnsi="Times New Roman"/>
        </w:rPr>
        <w:t>小于或等于</w:t>
      </w:r>
      <w:r>
        <w:rPr>
          <w:rFonts w:ascii="Times New Roman" w:hAnsi="Times New Roman"/>
        </w:rPr>
        <w:t>1.1 mm，截取锥孔径</w:t>
      </w:r>
      <w:r>
        <w:rPr>
          <w:rFonts w:hint="eastAsia" w:ascii="Times New Roman" w:hAnsi="Times New Roman"/>
        </w:rPr>
        <w:t>小于或等于</w:t>
      </w:r>
      <w:r>
        <w:rPr>
          <w:rFonts w:ascii="Times New Roman" w:hAnsi="Times New Roman"/>
        </w:rPr>
        <w:t>0.9 mm，防止过多基体进入仪器真空腔，保证质谱系统的长期稳定性，减少真空腔内的维护；</w:t>
      </w:r>
    </w:p>
    <w:p>
      <w:pPr>
        <w:pStyle w:val="11"/>
        <w:spacing w:before="0" w:beforeAutospacing="0" w:after="0" w:afterAutospacing="0" w:line="360" w:lineRule="auto"/>
        <w:ind w:firstLine="480" w:firstLineChars="200"/>
        <w:rPr>
          <w:color w:val="FF0000"/>
        </w:rPr>
      </w:pPr>
      <w:r>
        <w:rPr>
          <w:rFonts w:ascii="Times New Roman" w:hAnsi="Times New Roman"/>
        </w:rPr>
        <w:t>2.6.离子透镜：</w:t>
      </w:r>
      <w:r>
        <w:rPr>
          <w:rFonts w:ascii="Times New Roman" w:hAnsi="Times New Roman"/>
          <w:color w:val="000000" w:themeColor="text1"/>
          <w14:textFill>
            <w14:solidFill>
              <w14:schemeClr w14:val="tx1"/>
            </w14:solidFill>
          </w14:textFill>
        </w:rPr>
        <w:t>双提取透镜及双离轴偏转透镜</w:t>
      </w:r>
      <w:r>
        <w:rPr>
          <w:rFonts w:hint="eastAsia" w:ascii="Times New Roman" w:hAns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半导体高纯材</w:t>
      </w:r>
      <w:r>
        <w:rPr>
          <w:rFonts w:hint="eastAsia" w:ascii="Times New Roman" w:hAnsi="Times New Roman"/>
          <w:color w:val="000000" w:themeColor="text1"/>
          <w14:textFill>
            <w14:solidFill>
              <w14:schemeClr w14:val="tx1"/>
            </w14:solidFill>
          </w14:textFill>
        </w:rPr>
        <w:t>料</w:t>
      </w:r>
      <w:r>
        <w:rPr>
          <w:rFonts w:hint="eastAsia"/>
          <w:color w:val="000000" w:themeColor="text1"/>
          <w14:textFill>
            <w14:solidFill>
              <w14:schemeClr w14:val="tx1"/>
            </w14:solidFill>
          </w14:textFill>
        </w:rPr>
        <w:t>专用适合大通室基体</w:t>
      </w:r>
      <w:r>
        <w:rPr>
          <w:color w:val="000000" w:themeColor="text1"/>
          <w14:textFill>
            <w14:solidFill>
              <w14:schemeClr w14:val="tx1"/>
            </w14:solidFill>
          </w14:textFill>
        </w:rPr>
        <w:t>，维护时无须关闭高真空系统</w:t>
      </w:r>
      <w:r>
        <w:rPr>
          <w:rFonts w:hint="eastAsia"/>
        </w:rPr>
        <w:t>或四极杆结构9</w:t>
      </w:r>
      <w:r>
        <w:t>0</w:t>
      </w:r>
      <w:r>
        <w:rPr>
          <w:rFonts w:hint="eastAsia"/>
        </w:rPr>
        <w:t>度偏转透镜。</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2</w:t>
      </w:r>
      <w:r>
        <w:rPr>
          <w:rFonts w:ascii="Times New Roman" w:hAnsi="Times New Roman"/>
        </w:rPr>
        <w:t>.7.</w:t>
      </w:r>
      <w:r>
        <w:rPr>
          <w:rFonts w:hint="eastAsia" w:ascii="Times New Roman" w:hAnsi="Times New Roman"/>
        </w:rPr>
        <w:t>一级质谱（Q1，</w:t>
      </w:r>
      <w:r>
        <w:rPr>
          <w:rFonts w:ascii="Times New Roman" w:hAnsi="Times New Roman"/>
        </w:rPr>
        <w:t>碰撞反应池之前的四级杆质量分析器</w:t>
      </w:r>
      <w:r>
        <w:rPr>
          <w:rFonts w:hint="eastAsia" w:ascii="Times New Roman" w:hAnsi="Times New Roman"/>
        </w:rPr>
        <w:t>）</w:t>
      </w:r>
      <w:r>
        <w:rPr>
          <w:rFonts w:ascii="Times New Roman" w:hAnsi="Times New Roman"/>
        </w:rPr>
        <w:t>：</w:t>
      </w:r>
      <w:r>
        <w:rPr>
          <w:rFonts w:hint="eastAsia" w:ascii="Times New Roman" w:hAnsi="Times New Roman"/>
        </w:rPr>
        <w:t>必须是与主四极杆长度规格完全一致的双曲面四极杆，分辨率优于或等于</w:t>
      </w:r>
      <w:r>
        <w:rPr>
          <w:rFonts w:ascii="Times New Roman" w:hAnsi="Times New Roman"/>
        </w:rPr>
        <w:t>1</w:t>
      </w:r>
      <w:r>
        <w:rPr>
          <w:rFonts w:hint="eastAsia" w:ascii="Times New Roman" w:hAnsi="Times New Roman"/>
        </w:rPr>
        <w:t>.</w:t>
      </w:r>
      <w:r>
        <w:rPr>
          <w:rFonts w:ascii="Times New Roman" w:hAnsi="Times New Roman"/>
        </w:rPr>
        <w:t xml:space="preserve">0 </w:t>
      </w:r>
      <w:r>
        <w:rPr>
          <w:rFonts w:hint="eastAsia" w:ascii="Times New Roman" w:hAnsi="Times New Roman"/>
        </w:rPr>
        <w:t>amu，或配置其他高端质谱，如高分辨率磁式质谱。</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2</w:t>
      </w:r>
      <w:r>
        <w:rPr>
          <w:rFonts w:ascii="Times New Roman" w:hAnsi="Times New Roman"/>
        </w:rPr>
        <w:t>.8.碰撞反应池系统</w:t>
      </w:r>
    </w:p>
    <w:p>
      <w:pPr>
        <w:pStyle w:val="11"/>
        <w:spacing w:before="0" w:beforeAutospacing="0" w:after="0" w:afterAutospacing="0" w:line="360" w:lineRule="auto"/>
        <w:ind w:firstLine="480" w:firstLineChars="200"/>
        <w:rPr>
          <w:rFonts w:ascii="Times New Roman" w:hAnsi="Times New Roman"/>
          <w:color w:val="FF0000"/>
        </w:rPr>
      </w:pPr>
      <w:r>
        <w:rPr>
          <w:rFonts w:ascii="Times New Roman" w:hAnsi="Times New Roman"/>
        </w:rPr>
        <w:t xml:space="preserve">2.8.1. </w:t>
      </w:r>
      <w:r>
        <w:rPr>
          <w:rFonts w:ascii="Times New Roman" w:hAnsi="Times New Roman"/>
          <w:color w:val="000000" w:themeColor="text1"/>
          <w14:textFill>
            <w14:solidFill>
              <w14:schemeClr w14:val="tx1"/>
            </w14:solidFill>
          </w14:textFill>
        </w:rPr>
        <w:t>八级杆</w:t>
      </w:r>
      <w:r>
        <w:rPr>
          <w:rFonts w:hint="eastAsia" w:ascii="Times New Roman" w:hAnsi="Times New Roman"/>
          <w:color w:val="000000" w:themeColor="text1"/>
          <w14:textFill>
            <w14:solidFill>
              <w14:schemeClr w14:val="tx1"/>
            </w14:solidFill>
          </w14:textFill>
        </w:rPr>
        <w:t>或四极杆</w:t>
      </w:r>
      <w:r>
        <w:rPr>
          <w:rFonts w:ascii="Times New Roman" w:hAnsi="Times New Roman"/>
          <w:color w:val="000000" w:themeColor="text1"/>
          <w14:textFill>
            <w14:solidFill>
              <w14:schemeClr w14:val="tx1"/>
            </w14:solidFill>
          </w14:textFill>
        </w:rPr>
        <w:t>碰撞/反应池系统</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适合于多种工作气体，可实现不同气体和工作模式的全自动切换；</w:t>
      </w:r>
      <w:r>
        <w:rPr>
          <w:rFonts w:ascii="Times New Roman" w:hAnsi="Times New Roman"/>
          <w:color w:val="FF0000"/>
        </w:rPr>
        <w:t xml:space="preserve"> </w:t>
      </w:r>
    </w:p>
    <w:p>
      <w:pPr>
        <w:pStyle w:val="11"/>
        <w:spacing w:before="0" w:beforeAutospacing="0" w:after="0" w:afterAutospacing="0" w:line="360" w:lineRule="auto"/>
        <w:ind w:firstLine="480" w:firstLineChars="200"/>
      </w:pPr>
      <w:r>
        <w:rPr>
          <w:rFonts w:ascii="Times New Roman" w:hAnsi="Times New Roman"/>
        </w:rPr>
        <w:t>2.8.2. 在一次进样分析中可同时使用</w:t>
      </w:r>
      <w:r>
        <w:rPr>
          <w:rFonts w:hint="eastAsia" w:ascii="Times New Roman" w:hAnsi="Times New Roman"/>
        </w:rPr>
        <w:t>多种气体</w:t>
      </w:r>
      <w:r>
        <w:t>；</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2.8.3.碰撞反应池可使用其他多种官方认可反应气；</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2.8.4. 碰撞反应池配备4路或4路以上质量流量计；</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2</w:t>
      </w:r>
      <w:r>
        <w:rPr>
          <w:rFonts w:ascii="Times New Roman" w:hAnsi="Times New Roman"/>
        </w:rPr>
        <w:t>.9.二</w:t>
      </w:r>
      <w:r>
        <w:rPr>
          <w:rFonts w:hint="eastAsia" w:ascii="Times New Roman" w:hAnsi="Times New Roman"/>
        </w:rPr>
        <w:t>级质谱（主四级杆质量分析器Q2，</w:t>
      </w:r>
      <w:r>
        <w:rPr>
          <w:rFonts w:ascii="Times New Roman" w:hAnsi="Times New Roman"/>
        </w:rPr>
        <w:t>碰撞反应池之后的四级杆质量分析器</w:t>
      </w:r>
      <w:r>
        <w:rPr>
          <w:rFonts w:hint="eastAsia" w:ascii="Times New Roman" w:hAnsi="Times New Roman"/>
        </w:rPr>
        <w:t>）</w:t>
      </w:r>
      <w:r>
        <w:rPr>
          <w:rFonts w:ascii="Times New Roman" w:hAnsi="Times New Roman"/>
        </w:rPr>
        <w:t>：</w:t>
      </w:r>
      <w:r>
        <w:rPr>
          <w:rFonts w:hint="eastAsia" w:ascii="Times New Roman" w:hAnsi="Times New Roman"/>
        </w:rPr>
        <w:t>双曲面四级杆，分辨率优于或等于0.5</w:t>
      </w:r>
      <w:r>
        <w:rPr>
          <w:rFonts w:ascii="Times New Roman" w:hAnsi="Times New Roman"/>
        </w:rPr>
        <w:t xml:space="preserve"> </w:t>
      </w:r>
      <w:r>
        <w:rPr>
          <w:rFonts w:hint="eastAsia" w:ascii="Times New Roman" w:hAnsi="Times New Roman"/>
        </w:rPr>
        <w:t>amu</w:t>
      </w:r>
      <w:r>
        <w:rPr>
          <w:rFonts w:ascii="Times New Roman" w:hAnsi="Times New Roman"/>
        </w:rPr>
        <w:t>；</w:t>
      </w:r>
    </w:p>
    <w:p>
      <w:pPr>
        <w:pStyle w:val="11"/>
        <w:spacing w:before="0" w:beforeAutospacing="0" w:after="0" w:afterAutospacing="0" w:line="360" w:lineRule="auto"/>
        <w:ind w:firstLine="480" w:firstLineChars="200"/>
      </w:pPr>
      <w:r>
        <w:rPr>
          <w:rFonts w:hint="eastAsia" w:ascii="Times New Roman" w:hAnsi="Times New Roman"/>
        </w:rPr>
        <w:t>2</w:t>
      </w:r>
      <w:r>
        <w:rPr>
          <w:rFonts w:ascii="Times New Roman" w:hAnsi="Times New Roman"/>
        </w:rPr>
        <w:t>.10.仪器</w:t>
      </w:r>
      <w:r>
        <w:t>主机采用的质量分析器技术，符合下列技术</w:t>
      </w:r>
      <w:r>
        <w:rPr>
          <w:rFonts w:hint="eastAsia"/>
        </w:rPr>
        <w:t>之一</w:t>
      </w:r>
      <w:r>
        <w:t>：</w:t>
      </w:r>
    </w:p>
    <w:p>
      <w:pPr>
        <w:pStyle w:val="11"/>
        <w:spacing w:before="0" w:beforeAutospacing="0" w:after="0" w:afterAutospacing="0" w:line="360" w:lineRule="auto"/>
        <w:ind w:firstLine="480" w:firstLineChars="200"/>
      </w:pPr>
      <w:r>
        <w:rPr>
          <w:rFonts w:hint="eastAsia" w:ascii="Times New Roman" w:hAnsi="Times New Roman"/>
        </w:rPr>
        <w:t>2</w:t>
      </w:r>
      <w:r>
        <w:rPr>
          <w:rFonts w:ascii="Times New Roman" w:hAnsi="Times New Roman"/>
        </w:rPr>
        <w:t>.10.1</w:t>
      </w:r>
      <w:r>
        <w:t>仪器质谱部分采用双聚焦扇形磁场技术，即：电场和磁场聚焦形成的双聚焦技术，物理分辨率</w:t>
      </w:r>
      <w:r>
        <w:rPr>
          <w:rFonts w:hint="eastAsia"/>
        </w:rPr>
        <w:t>大于或等于</w:t>
      </w:r>
      <w:r>
        <w:rPr>
          <w:rFonts w:ascii="Times New Roman" w:hAnsi="Times New Roman"/>
        </w:rPr>
        <w:t>5000</w:t>
      </w:r>
      <w:r>
        <w:t>；</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 xml:space="preserve">2.10.2 </w:t>
      </w:r>
      <w:r>
        <w:t>仪器主机质谱部分采用两级四级杆质谱技术，一级质谱的分辨率</w:t>
      </w:r>
      <w:r>
        <w:rPr>
          <w:rFonts w:hint="eastAsia"/>
        </w:rPr>
        <w:t>优于或等于</w:t>
      </w:r>
      <w:r>
        <w:rPr>
          <w:rFonts w:ascii="Times New Roman" w:hAnsi="Times New Roman"/>
        </w:rPr>
        <w:t>1.0 amu，二级质谱的分辨率优于</w:t>
      </w:r>
      <w:r>
        <w:rPr>
          <w:rFonts w:hint="eastAsia" w:ascii="Times New Roman" w:hAnsi="Times New Roman"/>
        </w:rPr>
        <w:t>或等于</w:t>
      </w:r>
      <w:r>
        <w:rPr>
          <w:rFonts w:ascii="Times New Roman" w:hAnsi="Times New Roman"/>
        </w:rPr>
        <w:t>0.5 amu；两个四级杆长短一致、驱动频率一致，均可实现单位质量分辨；</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2</w:t>
      </w:r>
      <w:r>
        <w:rPr>
          <w:rFonts w:ascii="Times New Roman" w:hAnsi="Times New Roman"/>
        </w:rPr>
        <w:t>.11检测器：11个数量级动态线性范围双模式电子倍增器，在模拟和脉冲模式之间实现自动切换；</w:t>
      </w:r>
    </w:p>
    <w:p>
      <w:pPr>
        <w:pStyle w:val="11"/>
        <w:spacing w:before="0" w:beforeAutospacing="0" w:after="0" w:afterAutospacing="0"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2.12真空系统：具有高性能真空系统，四级杆和碰撞反应池具有独立的真空系统及分子涡轮泵</w:t>
      </w:r>
      <w:r>
        <w:rPr>
          <w:rFonts w:hint="eastAsia" w:ascii="Times New Roman" w:hAnsi="Times New Roman"/>
          <w:color w:val="000000" w:themeColor="text1"/>
          <w14:textFill>
            <w14:solidFill>
              <w14:schemeClr w14:val="tx1"/>
            </w14:solidFill>
          </w14:textFill>
        </w:rPr>
        <w:t>，</w:t>
      </w:r>
      <w:r>
        <w:rPr>
          <w:color w:val="000000" w:themeColor="text1"/>
          <w14:textFill>
            <w14:solidFill>
              <w14:schemeClr w14:val="tx1"/>
            </w14:solidFill>
          </w14:textFill>
        </w:rPr>
        <w:t>仪器具有2个或2个以上分子涡轮泵</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抽力大于或优于5</w:t>
      </w:r>
      <w:r>
        <w:rPr>
          <w:rFonts w:ascii="Times New Roman" w:hAnsi="Times New Roman"/>
          <w:color w:val="000000" w:themeColor="text1"/>
          <w14:textFill>
            <w14:solidFill>
              <w14:schemeClr w14:val="tx1"/>
            </w14:solidFill>
          </w14:textFill>
        </w:rPr>
        <w:t>00</w:t>
      </w:r>
      <w:r>
        <w:rPr>
          <w:rFonts w:hint="eastAsia" w:ascii="Times New Roman" w:hAnsi="Times New Roman"/>
          <w:color w:val="000000" w:themeColor="text1"/>
          <w14:textFill>
            <w14:solidFill>
              <w14:schemeClr w14:val="tx1"/>
            </w14:solidFill>
          </w14:textFill>
        </w:rPr>
        <w:t>L</w:t>
      </w:r>
      <w:r>
        <w:rPr>
          <w:rFonts w:ascii="Times New Roman" w:hAnsi="Times New Roman"/>
          <w:color w:val="000000" w:themeColor="text1"/>
          <w14:textFill>
            <w14:solidFill>
              <w14:schemeClr w14:val="tx1"/>
            </w14:solidFill>
          </w14:textFill>
        </w:rPr>
        <w:t>/S</w:t>
      </w:r>
      <w:r>
        <w:rPr>
          <w:rFonts w:hint="eastAsia" w:ascii="Times New Roman" w:hAnsi="Times New Roman"/>
          <w:color w:val="000000" w:themeColor="text1"/>
          <w14:textFill>
            <w14:solidFill>
              <w14:schemeClr w14:val="tx1"/>
            </w14:solidFill>
          </w14:textFill>
        </w:rPr>
        <w:t>。</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2.13高盐或高固含量样品自动稀释系统</w:t>
      </w:r>
      <w:r>
        <w:rPr>
          <w:rFonts w:hint="eastAsia" w:ascii="Times New Roman" w:hAnsi="Times New Roman"/>
        </w:rPr>
        <w:t>，可</w:t>
      </w:r>
      <w:r>
        <w:rPr>
          <w:rFonts w:ascii="Times New Roman" w:hAnsi="Times New Roman"/>
        </w:rPr>
        <w:t>实现2%以上盐分样品长时间直接进样分析；</w:t>
      </w:r>
    </w:p>
    <w:p>
      <w:pPr>
        <w:pStyle w:val="11"/>
        <w:spacing w:before="0" w:beforeAutospacing="0" w:after="0" w:afterAutospacing="0" w:line="360" w:lineRule="auto"/>
        <w:ind w:firstLine="482" w:firstLineChars="200"/>
        <w:rPr>
          <w:b/>
        </w:rPr>
      </w:pPr>
      <w:r>
        <w:rPr>
          <w:rFonts w:hint="eastAsia"/>
          <w:b/>
        </w:rPr>
        <w:t>3</w:t>
      </w:r>
      <w:r>
        <w:rPr>
          <w:b/>
        </w:rPr>
        <w:t>.计算机配置：</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3.1.ICP-MS原厂配置的计算机系统；</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3</w:t>
      </w:r>
      <w:r>
        <w:rPr>
          <w:rFonts w:ascii="Times New Roman" w:hAnsi="Times New Roman"/>
        </w:rPr>
        <w:t>.2.配置要求：Intel®双核3.2 GHz;  2G内存；250G HDD；16倍速DVD；22吋液晶显示器；</w:t>
      </w:r>
    </w:p>
    <w:p>
      <w:pPr>
        <w:pStyle w:val="11"/>
        <w:spacing w:before="0" w:beforeAutospacing="0" w:after="0" w:afterAutospacing="0" w:line="360" w:lineRule="auto"/>
        <w:ind w:firstLine="480" w:firstLineChars="200"/>
      </w:pPr>
      <w:r>
        <w:rPr>
          <w:rFonts w:hint="eastAsia" w:ascii="Times New Roman" w:hAnsi="Times New Roman"/>
        </w:rPr>
        <w:t>3</w:t>
      </w:r>
      <w:r>
        <w:rPr>
          <w:rFonts w:ascii="Times New Roman" w:hAnsi="Times New Roman"/>
        </w:rPr>
        <w:t>.3.激光打印机</w:t>
      </w:r>
      <w:r>
        <w:t>；</w:t>
      </w:r>
    </w:p>
    <w:p>
      <w:pPr>
        <w:pStyle w:val="11"/>
        <w:spacing w:before="0" w:beforeAutospacing="0" w:after="0" w:afterAutospacing="0" w:line="360" w:lineRule="auto"/>
        <w:ind w:firstLine="480" w:firstLineChars="200"/>
        <w:rPr>
          <w:b/>
        </w:rPr>
      </w:pPr>
      <w:r>
        <w:rPr>
          <w:rFonts w:hint="eastAsia" w:ascii="Times New Roman" w:hAnsi="Times New Roman"/>
        </w:rPr>
        <w:t>3.2</w:t>
      </w:r>
      <w:r>
        <w:rPr>
          <w:rFonts w:ascii="Times New Roman" w:hAnsi="Times New Roman"/>
        </w:rPr>
        <w:t>.</w:t>
      </w:r>
      <w:r>
        <w:rPr>
          <w:b/>
        </w:rPr>
        <w:t>操作软件：</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3</w:t>
      </w:r>
      <w:r>
        <w:rPr>
          <w:rFonts w:ascii="Times New Roman" w:hAnsi="Times New Roman"/>
        </w:rPr>
        <w:t xml:space="preserve">.2.1操作系统：Windows </w:t>
      </w:r>
      <w:r>
        <w:rPr>
          <w:rFonts w:hint="eastAsia" w:ascii="Times New Roman" w:hAnsi="Times New Roman"/>
        </w:rPr>
        <w:t>1</w:t>
      </w:r>
      <w:r>
        <w:rPr>
          <w:rFonts w:ascii="Times New Roman" w:hAnsi="Times New Roman"/>
        </w:rPr>
        <w:t>0；</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3</w:t>
      </w:r>
      <w:r>
        <w:rPr>
          <w:rFonts w:ascii="Times New Roman" w:hAnsi="Times New Roman"/>
        </w:rPr>
        <w:t>.2.2全自动工作条件调谐 (AutoTuning)</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3</w:t>
      </w:r>
      <w:r>
        <w:rPr>
          <w:rFonts w:ascii="Times New Roman" w:hAnsi="Times New Roman"/>
        </w:rPr>
        <w:t>.2.3单杆(MS)和串联(MS/MS)两种质谱方式的自动切换，在软件界面明确显示并选择一级质谱(Q1)所要筛选的质量数；</w:t>
      </w:r>
    </w:p>
    <w:p>
      <w:pPr>
        <w:pStyle w:val="11"/>
        <w:spacing w:before="0" w:beforeAutospacing="0" w:after="0" w:afterAutospacing="0"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rPr>
        <w:t>3.2.4</w:t>
      </w:r>
      <w:r>
        <w:rPr>
          <w:rFonts w:ascii="Times New Roman" w:hAnsi="Times New Roman"/>
          <w:color w:val="000000" w:themeColor="text1"/>
          <w14:textFill>
            <w14:solidFill>
              <w14:schemeClr w14:val="tx1"/>
            </w14:solidFill>
          </w14:textFill>
        </w:rPr>
        <w:t>虚拟内标法(VIS)通过在已有的多个内标元素之间的插入一个“虚拟”的内标进行校正，虚拟内标更接近目标元素质量数，更可靠地校正各种样品基体效应</w:t>
      </w:r>
      <w:r>
        <w:rPr>
          <w:rFonts w:hint="eastAsia" w:ascii="Times New Roman" w:hAnsi="Times New Roman"/>
          <w:color w:val="000000" w:themeColor="text1"/>
          <w14:textFill>
            <w14:solidFill>
              <w14:schemeClr w14:val="tx1"/>
            </w14:solidFill>
          </w14:textFill>
        </w:rPr>
        <w:t>或优于此技术。</w:t>
      </w:r>
    </w:p>
    <w:p>
      <w:pPr>
        <w:pStyle w:val="11"/>
        <w:spacing w:before="0" w:beforeAutospacing="0" w:after="0" w:afterAutospacing="0" w:line="360" w:lineRule="auto"/>
        <w:ind w:firstLine="480" w:firstLineChars="200"/>
        <w:rPr>
          <w:rFonts w:ascii="Times New Roman" w:hAnsi="Times New Roman"/>
        </w:rPr>
      </w:pPr>
      <w:r>
        <w:rPr>
          <w:rFonts w:ascii="Times New Roman" w:hAnsi="Times New Roman"/>
        </w:rPr>
        <w:t>3.2.5批量数据表功能质量控制标准的在线显示与控制数据直接输出到Excel表格（随机配置）或LIMS数据系统；</w:t>
      </w:r>
    </w:p>
    <w:p>
      <w:pPr>
        <w:pStyle w:val="11"/>
        <w:spacing w:before="0" w:beforeAutospacing="0" w:after="0" w:afterAutospacing="0" w:line="360" w:lineRule="auto"/>
        <w:ind w:firstLine="482" w:firstLineChars="200"/>
        <w:rPr>
          <w:b/>
        </w:rPr>
      </w:pPr>
      <w:r>
        <w:rPr>
          <w:rFonts w:hint="eastAsia"/>
          <w:b/>
          <w:color w:val="000000"/>
        </w:rPr>
        <w:t>▲</w:t>
      </w:r>
      <w:r>
        <w:rPr>
          <w:rFonts w:hint="eastAsia"/>
          <w:b/>
        </w:rPr>
        <w:t>4</w:t>
      </w:r>
      <w:r>
        <w:rPr>
          <w:b/>
        </w:rPr>
        <w:t xml:space="preserve">.性能指标： </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4</w:t>
      </w:r>
      <w:r>
        <w:rPr>
          <w:rFonts w:ascii="Times New Roman" w:hAnsi="Times New Roman"/>
        </w:rPr>
        <w:t>.1.</w:t>
      </w:r>
      <w:r>
        <w:rPr>
          <w:rFonts w:hint="eastAsia" w:ascii="Times New Roman" w:hAnsi="Times New Roman"/>
        </w:rPr>
        <w:t>在氧化物产率≤2%的前提下，满足以下</w:t>
      </w:r>
      <w:r>
        <w:rPr>
          <w:rFonts w:ascii="Times New Roman" w:hAnsi="Times New Roman"/>
        </w:rPr>
        <w:t>灵敏度【cps/ppm】</w:t>
      </w:r>
      <w:r>
        <w:rPr>
          <w:rFonts w:hint="eastAsia" w:ascii="Times New Roman" w:hAnsi="Times New Roman"/>
        </w:rPr>
        <w:t>：</w:t>
      </w:r>
    </w:p>
    <w:p>
      <w:pPr>
        <w:pStyle w:val="11"/>
        <w:spacing w:before="0" w:beforeAutospacing="0" w:after="0" w:afterAutospacing="0" w:line="360" w:lineRule="auto"/>
        <w:ind w:left="420"/>
        <w:rPr>
          <w:rFonts w:ascii="Times New Roman" w:hAnsi="Times New Roman"/>
        </w:rPr>
      </w:pPr>
      <w:r>
        <w:rPr>
          <w:rFonts w:ascii="Times New Roman" w:hAnsi="Times New Roman"/>
        </w:rPr>
        <w:t>低质量数：Li(7)≥400 M</w:t>
      </w:r>
    </w:p>
    <w:p>
      <w:pPr>
        <w:pStyle w:val="11"/>
        <w:spacing w:before="0" w:beforeAutospacing="0" w:after="0" w:afterAutospacing="0" w:line="360" w:lineRule="auto"/>
        <w:ind w:left="420"/>
        <w:rPr>
          <w:rFonts w:ascii="Times New Roman" w:hAnsi="Times New Roman"/>
        </w:rPr>
      </w:pPr>
      <w:r>
        <w:rPr>
          <w:rFonts w:ascii="Times New Roman" w:hAnsi="Times New Roman"/>
        </w:rPr>
        <w:t xml:space="preserve">中质量数：In </w:t>
      </w:r>
      <w:r>
        <w:rPr>
          <w:rFonts w:hint="eastAsia" w:ascii="Times New Roman" w:hAnsi="Times New Roman"/>
        </w:rPr>
        <w:t>(</w:t>
      </w:r>
      <w:r>
        <w:rPr>
          <w:rFonts w:ascii="Times New Roman" w:hAnsi="Times New Roman"/>
        </w:rPr>
        <w:t>115</w:t>
      </w:r>
      <w:r>
        <w:rPr>
          <w:rFonts w:hint="eastAsia" w:ascii="Times New Roman" w:hAnsi="Times New Roman"/>
        </w:rPr>
        <w:t>)</w:t>
      </w:r>
      <w:r>
        <w:rPr>
          <w:rFonts w:ascii="Times New Roman" w:hAnsi="Times New Roman"/>
        </w:rPr>
        <w:t>≥1400 M</w:t>
      </w:r>
    </w:p>
    <w:p>
      <w:pPr>
        <w:pStyle w:val="11"/>
        <w:spacing w:before="0" w:beforeAutospacing="0" w:after="0" w:afterAutospacing="0" w:line="360" w:lineRule="auto"/>
        <w:ind w:left="420"/>
        <w:rPr>
          <w:rFonts w:ascii="Times New Roman" w:hAnsi="Times New Roman"/>
        </w:rPr>
      </w:pPr>
      <w:r>
        <w:rPr>
          <w:rFonts w:ascii="Times New Roman" w:hAnsi="Times New Roman"/>
        </w:rPr>
        <w:t>高质量数：U(238) ≥980 M</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4</w:t>
      </w:r>
      <w:r>
        <w:rPr>
          <w:rFonts w:ascii="Times New Roman" w:hAnsi="Times New Roman"/>
        </w:rPr>
        <w:t>.2.检出限【3*sigma，ppt】</w:t>
      </w:r>
    </w:p>
    <w:p>
      <w:pPr>
        <w:pStyle w:val="11"/>
        <w:spacing w:before="0" w:beforeAutospacing="0" w:after="0" w:afterAutospacing="0" w:line="360" w:lineRule="auto"/>
        <w:ind w:left="420"/>
        <w:rPr>
          <w:rFonts w:ascii="Times New Roman" w:hAnsi="Times New Roman"/>
        </w:rPr>
      </w:pPr>
      <w:r>
        <w:rPr>
          <w:rFonts w:ascii="Times New Roman" w:hAnsi="Times New Roman"/>
        </w:rPr>
        <w:t>Be (9) ≤ 0.1 ppt</w:t>
      </w:r>
    </w:p>
    <w:p>
      <w:pPr>
        <w:pStyle w:val="11"/>
        <w:spacing w:before="0" w:beforeAutospacing="0" w:after="0" w:afterAutospacing="0" w:line="360" w:lineRule="auto"/>
        <w:ind w:left="420"/>
        <w:rPr>
          <w:rFonts w:ascii="Times New Roman" w:hAnsi="Times New Roman"/>
        </w:rPr>
      </w:pPr>
      <w:r>
        <w:rPr>
          <w:rFonts w:ascii="Times New Roman" w:hAnsi="Times New Roman"/>
        </w:rPr>
        <w:t>In (115) ≤ 0.05 ppt</w:t>
      </w:r>
    </w:p>
    <w:p>
      <w:pPr>
        <w:pStyle w:val="11"/>
        <w:spacing w:before="0" w:beforeAutospacing="0" w:after="0" w:afterAutospacing="0" w:line="360" w:lineRule="auto"/>
        <w:ind w:left="420"/>
        <w:rPr>
          <w:rFonts w:ascii="Times New Roman" w:hAnsi="Times New Roman"/>
        </w:rPr>
      </w:pPr>
      <w:r>
        <w:rPr>
          <w:rFonts w:ascii="Times New Roman" w:hAnsi="Times New Roman"/>
        </w:rPr>
        <w:t>Bi (209) ≤ 0.05 ppt</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4</w:t>
      </w:r>
      <w:r>
        <w:rPr>
          <w:rFonts w:ascii="Times New Roman" w:hAnsi="Times New Roman"/>
        </w:rPr>
        <w:t>.3.背景：≤0.2 cps （在质量数9和238 amu，即元素Be和U处测定实际背景）</w:t>
      </w:r>
    </w:p>
    <w:p>
      <w:pPr>
        <w:pStyle w:val="11"/>
        <w:spacing w:before="0" w:beforeAutospacing="0" w:after="0" w:afterAutospacing="0"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rPr>
        <w:t>4</w:t>
      </w:r>
      <w:r>
        <w:rPr>
          <w:rFonts w:ascii="Times New Roman" w:hAnsi="Times New Roman"/>
        </w:rPr>
        <w:t>.4.丰度灵敏度：</w:t>
      </w:r>
      <w:r>
        <w:rPr>
          <w:rFonts w:hint="eastAsia" w:ascii="Times New Roman" w:hAnsi="Times New Roman"/>
        </w:rPr>
        <w:t>低质量端≤ 1 x 10</w:t>
      </w:r>
      <w:r>
        <w:rPr>
          <w:rFonts w:hint="eastAsia" w:ascii="Times New Roman" w:hAnsi="Times New Roman"/>
          <w:vertAlign w:val="superscript"/>
        </w:rPr>
        <w:t>-10</w:t>
      </w:r>
      <w:r>
        <w:rPr>
          <w:rFonts w:hint="eastAsia" w:ascii="Times New Roman" w:hAnsi="Times New Roman"/>
        </w:rPr>
        <w:t>；高质量端≤ 1 x 10</w:t>
      </w:r>
      <w:r>
        <w:rPr>
          <w:rFonts w:hint="eastAsia" w:ascii="Times New Roman" w:hAnsi="Times New Roman"/>
          <w:vertAlign w:val="superscript"/>
        </w:rPr>
        <w:t>-10</w:t>
      </w:r>
      <w:r>
        <w:rPr>
          <w:rFonts w:hint="eastAsia" w:ascii="Times New Roman" w:hAnsi="Times New Roman"/>
        </w:rPr>
        <w:t xml:space="preserve">；能够成功分离高含量铁基质中 </w:t>
      </w:r>
      <w:r>
        <w:rPr>
          <w:rFonts w:hint="eastAsia" w:ascii="Times New Roman" w:hAnsi="Times New Roman"/>
          <w:vertAlign w:val="superscript"/>
        </w:rPr>
        <w:t>54</w:t>
      </w:r>
      <w:r>
        <w:rPr>
          <w:rFonts w:hint="eastAsia" w:ascii="Times New Roman" w:hAnsi="Times New Roman"/>
        </w:rPr>
        <w:t>Fe 和</w:t>
      </w:r>
      <w:r>
        <w:rPr>
          <w:rFonts w:hint="eastAsia" w:ascii="Times New Roman" w:hAnsi="Times New Roman"/>
          <w:vertAlign w:val="superscript"/>
        </w:rPr>
        <w:t>56</w:t>
      </w:r>
      <w:r>
        <w:rPr>
          <w:rFonts w:hint="eastAsia" w:ascii="Times New Roman" w:hAnsi="Times New Roman"/>
        </w:rPr>
        <w:t xml:space="preserve">Fe 对 </w:t>
      </w:r>
      <w:r>
        <w:rPr>
          <w:rFonts w:hint="eastAsia" w:ascii="Times New Roman" w:hAnsi="Times New Roman"/>
          <w:vertAlign w:val="superscript"/>
        </w:rPr>
        <w:t>55</w:t>
      </w:r>
      <w:r>
        <w:rPr>
          <w:rFonts w:hint="eastAsia" w:ascii="Times New Roman" w:hAnsi="Times New Roman"/>
        </w:rPr>
        <w:t>Mn 造成的重叠干扰，可以准确测定0.1% Fe 基质样品溶液中 10 ppb 的Mn元素</w:t>
      </w:r>
      <w:r>
        <w:rPr>
          <w:rFonts w:ascii="Times New Roman" w:hAnsi="Times New Roman"/>
          <w:color w:val="000000" w:themeColor="text1"/>
          <w14:textFill>
            <w14:solidFill>
              <w14:schemeClr w14:val="tx1"/>
            </w14:solidFill>
          </w14:textFill>
        </w:rPr>
        <w:t>；</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4</w:t>
      </w:r>
      <w:r>
        <w:rPr>
          <w:rFonts w:ascii="Times New Roman" w:hAnsi="Times New Roman"/>
        </w:rPr>
        <w:t>.5.短期稳定性(RSD)： ≤3% (20 min)</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4</w:t>
      </w:r>
      <w:r>
        <w:rPr>
          <w:rFonts w:ascii="Times New Roman" w:hAnsi="Times New Roman"/>
        </w:rPr>
        <w:t>.6.长期稳定性(RSD)： ≤4% (2 hrs)</w:t>
      </w:r>
    </w:p>
    <w:p>
      <w:pPr>
        <w:pStyle w:val="11"/>
        <w:spacing w:before="0" w:beforeAutospacing="0" w:after="0" w:afterAutospacing="0" w:line="360" w:lineRule="auto"/>
        <w:ind w:firstLine="480" w:firstLineChars="200"/>
        <w:rPr>
          <w:rFonts w:ascii="Times New Roman" w:hAnsi="Times New Roman"/>
        </w:rPr>
      </w:pPr>
      <w:r>
        <w:rPr>
          <w:rFonts w:hint="eastAsia" w:ascii="Times New Roman" w:hAnsi="Times New Roman"/>
        </w:rPr>
        <w:t>4</w:t>
      </w:r>
      <w:r>
        <w:rPr>
          <w:rFonts w:ascii="Times New Roman" w:hAnsi="Times New Roman"/>
        </w:rPr>
        <w:t>.7.同位素精度比：</w:t>
      </w:r>
      <w:r>
        <w:rPr>
          <w:rFonts w:ascii="Times New Roman" w:hAnsi="Times New Roman"/>
          <w:vertAlign w:val="superscript"/>
        </w:rPr>
        <w:t>107</w:t>
      </w:r>
      <w:r>
        <w:rPr>
          <w:rFonts w:ascii="Times New Roman" w:hAnsi="Times New Roman"/>
        </w:rPr>
        <w:t xml:space="preserve"> Ag/</w:t>
      </w:r>
      <w:r>
        <w:rPr>
          <w:rFonts w:ascii="Times New Roman" w:hAnsi="Times New Roman"/>
          <w:vertAlign w:val="superscript"/>
        </w:rPr>
        <w:t>109</w:t>
      </w:r>
      <w:r>
        <w:rPr>
          <w:rFonts w:ascii="Times New Roman" w:hAnsi="Times New Roman"/>
        </w:rPr>
        <w:t xml:space="preserve"> Ag &lt; 0.2 %</w:t>
      </w:r>
    </w:p>
    <w:p>
      <w:pPr>
        <w:pStyle w:val="11"/>
        <w:spacing w:before="0" w:beforeAutospacing="0" w:after="0" w:afterAutospacing="0" w:line="360" w:lineRule="auto"/>
        <w:ind w:firstLine="480" w:firstLineChars="200"/>
        <w:rPr>
          <w:rFonts w:ascii="Times New Roman" w:hAnsi="Times New Roman"/>
          <w:color w:val="FF0000"/>
        </w:rPr>
      </w:pPr>
      <w:r>
        <w:rPr>
          <w:rFonts w:hint="eastAsia" w:ascii="Times New Roman" w:hAnsi="Times New Roman"/>
        </w:rPr>
        <w:t>4</w:t>
      </w:r>
      <w:r>
        <w:rPr>
          <w:rFonts w:ascii="Times New Roman" w:hAnsi="Times New Roman"/>
        </w:rPr>
        <w:t>.8.</w:t>
      </w:r>
      <w:r>
        <w:rPr>
          <w:rFonts w:hint="eastAsia" w:ascii="Times New Roman" w:hAnsi="Times New Roman"/>
        </w:rPr>
        <w:t>只需准备纳米金的标准物质和相应纳米颗粒的元素离子态标准溶液，即可测试多种元素的纳米粒子。</w:t>
      </w:r>
    </w:p>
    <w:p>
      <w:pPr>
        <w:pStyle w:val="11"/>
        <w:spacing w:before="0" w:beforeAutospacing="0" w:after="0" w:afterAutospacing="0" w:line="360" w:lineRule="auto"/>
        <w:ind w:firstLine="480" w:firstLineChars="200"/>
        <w:rPr>
          <w:rFonts w:ascii="Times New Roman" w:hAnsi="Times New Roman"/>
          <w:color w:val="FF0000"/>
        </w:rPr>
      </w:pPr>
      <w:r>
        <w:rPr>
          <w:rFonts w:hint="eastAsia" w:ascii="Times New Roman" w:hAnsi="Times New Roman"/>
        </w:rPr>
        <w:t>4</w:t>
      </w:r>
      <w:r>
        <w:rPr>
          <w:rFonts w:ascii="Times New Roman" w:hAnsi="Times New Roman"/>
        </w:rPr>
        <w:t>.9</w:t>
      </w:r>
      <w:r>
        <w:rPr>
          <w:rFonts w:ascii="Times New Roman" w:hAnsi="Times New Roman"/>
          <w:color w:val="FF0000"/>
        </w:rPr>
        <w:t>.</w:t>
      </w:r>
      <w:r>
        <w:rPr>
          <w:rFonts w:hint="eastAsia" w:ascii="Times New Roman" w:hAnsi="Times New Roman"/>
          <w:color w:val="000000" w:themeColor="text1"/>
          <w14:textFill>
            <w14:solidFill>
              <w14:schemeClr w14:val="tx1"/>
            </w14:solidFill>
          </w14:textFill>
        </w:rPr>
        <w:t>对纳米颗粒进行高灵敏度分析：具备精准测试粒径小于6</w:t>
      </w:r>
      <w:r>
        <w:rPr>
          <w:rFonts w:ascii="Times New Roman" w:hAnsi="Times New Roman"/>
          <w:color w:val="000000" w:themeColor="text1"/>
          <w14:textFill>
            <w14:solidFill>
              <w14:schemeClr w14:val="tx1"/>
            </w14:solidFill>
          </w14:textFill>
        </w:rPr>
        <w:t xml:space="preserve">0 </w:t>
      </w:r>
      <w:r>
        <w:rPr>
          <w:rFonts w:hint="eastAsia" w:ascii="Times New Roman" w:hAnsi="Times New Roman"/>
          <w:color w:val="000000" w:themeColor="text1"/>
          <w14:textFill>
            <w14:solidFill>
              <w14:schemeClr w14:val="tx1"/>
            </w14:solidFill>
          </w14:textFill>
        </w:rPr>
        <w:t>nm的纳米颗粒的能力；</w:t>
      </w:r>
    </w:p>
    <w:p>
      <w:pPr>
        <w:pStyle w:val="21"/>
        <w:spacing w:line="360" w:lineRule="auto"/>
        <w:ind w:firstLine="482"/>
        <w:rPr>
          <w:b/>
          <w:sz w:val="24"/>
        </w:rPr>
      </w:pPr>
      <w:r>
        <w:rPr>
          <w:rFonts w:hint="eastAsia"/>
          <w:b/>
          <w:sz w:val="24"/>
        </w:rPr>
        <w:t>5.</w:t>
      </w:r>
      <w:r>
        <w:rPr>
          <w:b/>
          <w:sz w:val="24"/>
        </w:rPr>
        <w:t>配置</w:t>
      </w:r>
      <w:r>
        <w:rPr>
          <w:rFonts w:hint="eastAsia"/>
          <w:b/>
          <w:sz w:val="24"/>
        </w:rPr>
        <w:t>清单</w:t>
      </w:r>
      <w:r>
        <w:rPr>
          <w:b/>
          <w:sz w:val="24"/>
        </w:rPr>
        <w:t>：</w:t>
      </w:r>
    </w:p>
    <w:p>
      <w:pPr>
        <w:pStyle w:val="11"/>
        <w:spacing w:before="0" w:beforeAutospacing="0" w:after="0" w:afterAutospacing="0" w:line="360" w:lineRule="auto"/>
        <w:ind w:left="420"/>
        <w:rPr>
          <w:color w:val="FF0000"/>
        </w:rPr>
      </w:pPr>
      <w:r>
        <w:rPr>
          <w:rFonts w:ascii="Times New Roman" w:hAnsi="Times New Roman"/>
        </w:rPr>
        <w:t>ICP-MS/MS</w:t>
      </w:r>
      <w:r>
        <w:t xml:space="preserve"> </w:t>
      </w:r>
      <w:r>
        <w:rPr>
          <w:rFonts w:hint="eastAsia"/>
        </w:rPr>
        <w:t>（</w:t>
      </w:r>
      <w:r>
        <w:rPr>
          <w:rFonts w:hint="eastAsia"/>
          <w:color w:val="000000" w:themeColor="text1"/>
          <w14:textFill>
            <w14:solidFill>
              <w14:schemeClr w14:val="tx1"/>
            </w14:solidFill>
          </w14:textFill>
        </w:rPr>
        <w:t>含半导体控温或优于此技术、</w:t>
      </w:r>
      <w:r>
        <w:rPr>
          <w:rFonts w:hint="eastAsia"/>
        </w:rPr>
        <w:t>有机加氧进样系统、碰撞反应池系统）</w:t>
      </w:r>
      <w:r>
        <w:t>或高分辨率磁式质谱主机1台；</w:t>
      </w:r>
    </w:p>
    <w:p>
      <w:pPr>
        <w:pStyle w:val="11"/>
        <w:spacing w:before="0" w:beforeAutospacing="0" w:after="0" w:afterAutospacing="0" w:line="360" w:lineRule="auto"/>
        <w:ind w:left="420"/>
      </w:pPr>
      <w:r>
        <w:t>惰性进样系统1套（包含</w:t>
      </w:r>
      <w:r>
        <w:rPr>
          <w:rFonts w:hint="eastAsia"/>
        </w:rPr>
        <w:t>P</w:t>
      </w:r>
      <w:r>
        <w:t>FA雾化器、</w:t>
      </w:r>
      <w:r>
        <w:rPr>
          <w:rFonts w:hint="eastAsia"/>
        </w:rPr>
        <w:t>中心喷射管</w:t>
      </w:r>
      <w:r>
        <w:t>为</w:t>
      </w:r>
      <w:r>
        <w:rPr>
          <w:rFonts w:hint="eastAsia"/>
        </w:rPr>
        <w:t>P</w:t>
      </w:r>
      <w:r>
        <w:t>t材质的耐氢氟酸炬管和PFA雾化室各1套）</w:t>
      </w:r>
    </w:p>
    <w:p>
      <w:pPr>
        <w:pStyle w:val="11"/>
        <w:spacing w:before="0" w:beforeAutospacing="0" w:after="0" w:afterAutospacing="0" w:line="360" w:lineRule="auto"/>
        <w:ind w:left="420"/>
      </w:pPr>
      <w:r>
        <w:rPr>
          <w:rFonts w:hint="eastAsia"/>
        </w:rPr>
        <w:t>半导体高纯材料专用透镜适合大通室基体</w:t>
      </w:r>
    </w:p>
    <w:p>
      <w:pPr>
        <w:pStyle w:val="11"/>
        <w:spacing w:before="0" w:beforeAutospacing="0" w:after="0" w:afterAutospacing="0" w:line="360" w:lineRule="auto"/>
        <w:ind w:left="420"/>
      </w:pPr>
      <w:r>
        <w:t>高盐或高固含量样品</w:t>
      </w:r>
      <w:r>
        <w:rPr>
          <w:rFonts w:hint="eastAsia"/>
        </w:rPr>
        <w:t>自动</w:t>
      </w:r>
      <w:r>
        <w:t>稀释系统</w:t>
      </w:r>
      <w:r>
        <w:rPr>
          <w:rFonts w:hint="eastAsia"/>
        </w:rPr>
        <w:t>1套</w:t>
      </w:r>
    </w:p>
    <w:p>
      <w:pPr>
        <w:pStyle w:val="11"/>
        <w:spacing w:before="0" w:beforeAutospacing="0" w:after="0" w:afterAutospacing="0" w:line="360" w:lineRule="auto"/>
        <w:ind w:left="420"/>
        <w:rPr>
          <w:b/>
        </w:rPr>
      </w:pPr>
      <w:r>
        <w:t>原装操作软件1套；</w:t>
      </w:r>
    </w:p>
    <w:p>
      <w:pPr>
        <w:pStyle w:val="11"/>
        <w:spacing w:before="0" w:beforeAutospacing="0" w:after="0" w:afterAutospacing="0" w:line="360" w:lineRule="auto"/>
        <w:ind w:left="420"/>
        <w:rPr>
          <w:b/>
        </w:rPr>
      </w:pPr>
      <w:r>
        <w:t>原装进口循环冷却水1台；</w:t>
      </w:r>
    </w:p>
    <w:p>
      <w:pPr>
        <w:pStyle w:val="11"/>
        <w:spacing w:before="0" w:beforeAutospacing="0" w:after="0" w:afterAutospacing="0" w:line="360" w:lineRule="auto"/>
        <w:ind w:left="420"/>
        <w:rPr>
          <w:b/>
        </w:rPr>
      </w:pPr>
      <w:r>
        <w:t>原装</w:t>
      </w:r>
      <w:r>
        <w:rPr>
          <w:rFonts w:ascii="Times New Roman" w:hAnsi="Times New Roman"/>
        </w:rPr>
        <w:t>ICP-MS</w:t>
      </w:r>
      <w:r>
        <w:t>调谐液、多元素标准溶液</w:t>
      </w:r>
      <w:r>
        <w:rPr>
          <w:rFonts w:hint="eastAsia"/>
        </w:rPr>
        <w:t xml:space="preserve"> </w:t>
      </w:r>
      <w:r>
        <w:t>各1套；</w:t>
      </w:r>
    </w:p>
    <w:p>
      <w:pPr>
        <w:pStyle w:val="21"/>
        <w:spacing w:line="360" w:lineRule="auto"/>
        <w:ind w:firstLine="482"/>
        <w:rPr>
          <w:b/>
          <w:sz w:val="24"/>
        </w:rPr>
      </w:pPr>
      <w:r>
        <w:rPr>
          <w:rFonts w:hint="eastAsia"/>
          <w:b/>
          <w:sz w:val="24"/>
        </w:rPr>
        <w:t>6.</w:t>
      </w:r>
      <w:r>
        <w:rPr>
          <w:b/>
          <w:sz w:val="24"/>
        </w:rPr>
        <w:t>配件与耗材（除主机安装及招标要求之外）：</w:t>
      </w:r>
    </w:p>
    <w:p>
      <w:pPr>
        <w:pStyle w:val="11"/>
        <w:spacing w:before="0" w:beforeAutospacing="0" w:after="0" w:afterAutospacing="0" w:line="360" w:lineRule="auto"/>
        <w:ind w:left="420"/>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t>铂采</w:t>
      </w:r>
      <w:r>
        <w:rPr>
          <w:rFonts w:ascii="Times New Roman" w:hAnsi="Times New Roman"/>
          <w:color w:val="000000" w:themeColor="text1"/>
          <w14:textFill>
            <w14:solidFill>
              <w14:schemeClr w14:val="tx1"/>
            </w14:solidFill>
          </w14:textFill>
        </w:rPr>
        <w:t xml:space="preserve">样锥        </w:t>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1套；          铂截取锥        1套；</w:t>
      </w:r>
    </w:p>
    <w:p>
      <w:pPr>
        <w:pStyle w:val="11"/>
        <w:spacing w:before="0" w:beforeAutospacing="0" w:after="0" w:afterAutospacing="0" w:line="360" w:lineRule="auto"/>
        <w:ind w:left="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P</w:t>
      </w:r>
      <w:r>
        <w:rPr>
          <w:rFonts w:ascii="Times New Roman" w:hAnsi="Times New Roman"/>
          <w:color w:val="000000" w:themeColor="text1"/>
          <w14:textFill>
            <w14:solidFill>
              <w14:schemeClr w14:val="tx1"/>
            </w14:solidFill>
          </w14:textFill>
        </w:rPr>
        <w:t>FA</w:t>
      </w:r>
      <w:r>
        <w:rPr>
          <w:rFonts w:hint="eastAsia" w:ascii="Times New Roman" w:hAnsi="Times New Roman"/>
          <w:color w:val="000000" w:themeColor="text1"/>
          <w14:textFill>
            <w14:solidFill>
              <w14:schemeClr w14:val="tx1"/>
            </w14:solidFill>
          </w14:textFill>
        </w:rPr>
        <w:t xml:space="preserve">雾化器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 4 </w:t>
      </w:r>
      <w:r>
        <w:rPr>
          <w:rFonts w:hint="eastAsia" w:ascii="Times New Roman" w:hAnsi="Times New Roman"/>
          <w:color w:val="000000" w:themeColor="text1"/>
          <w14:textFill>
            <w14:solidFill>
              <w14:schemeClr w14:val="tx1"/>
            </w14:solidFill>
          </w14:textFill>
        </w:rPr>
        <w:t xml:space="preserve">套 ；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耐氢氟酸</w:t>
      </w:r>
      <w:r>
        <w:rPr>
          <w:rFonts w:ascii="Times New Roman" w:hAnsi="Times New Roman"/>
          <w:color w:val="000000" w:themeColor="text1"/>
          <w14:textFill>
            <w14:solidFill>
              <w14:schemeClr w14:val="tx1"/>
            </w14:solidFill>
          </w14:textFill>
        </w:rPr>
        <w:t>炬管    2</w:t>
      </w:r>
      <w:r>
        <w:rPr>
          <w:rFonts w:hint="eastAsia" w:ascii="Times New Roman" w:hAnsi="Times New Roman"/>
          <w:color w:val="000000" w:themeColor="text1"/>
          <w14:textFill>
            <w14:solidFill>
              <w14:schemeClr w14:val="tx1"/>
            </w14:solidFill>
          </w14:textFill>
        </w:rPr>
        <w:t>套</w:t>
      </w:r>
      <w:r>
        <w:rPr>
          <w:rFonts w:ascii="Times New Roman" w:hAnsi="Times New Roman"/>
          <w:color w:val="000000" w:themeColor="text1"/>
          <w14:textFill>
            <w14:solidFill>
              <w14:schemeClr w14:val="tx1"/>
            </w14:solidFill>
          </w14:textFill>
        </w:rPr>
        <w:t xml:space="preserve">； </w:t>
      </w:r>
    </w:p>
    <w:p>
      <w:pPr>
        <w:pStyle w:val="11"/>
        <w:spacing w:before="0" w:beforeAutospacing="0" w:after="0" w:afterAutospacing="0" w:line="360" w:lineRule="auto"/>
        <w:ind w:left="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蠕动泵进样管      12根；       蠕动泵废液管    </w:t>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12根；   </w:t>
      </w:r>
    </w:p>
    <w:p>
      <w:pPr>
        <w:pStyle w:val="11"/>
        <w:spacing w:before="0" w:beforeAutospacing="0" w:after="0" w:afterAutospacing="0" w:line="360" w:lineRule="auto"/>
        <w:ind w:left="42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蠕动泵内标管      12根；       </w:t>
      </w:r>
      <w:r>
        <w:rPr>
          <w:color w:val="000000" w:themeColor="text1"/>
          <w14:textFill>
            <w14:solidFill>
              <w14:schemeClr w14:val="tx1"/>
            </w14:solidFill>
          </w14:textFill>
        </w:rPr>
        <w:t xml:space="preserve">采样锥O型圈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3个；</w:t>
      </w:r>
    </w:p>
    <w:p>
      <w:pPr>
        <w:pStyle w:val="11"/>
        <w:spacing w:before="0" w:beforeAutospacing="0" w:after="0" w:afterAutospacing="0" w:line="360" w:lineRule="auto"/>
        <w:ind w:left="420"/>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t>PFA样品管        5米；</w:t>
      </w:r>
      <w:r>
        <w:rPr>
          <w:b/>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 xml:space="preserve">截取锥O型圈 </w:t>
      </w:r>
      <w:r>
        <w:rPr>
          <w:bCs/>
          <w:color w:val="000000" w:themeColor="text1"/>
          <w14:textFill>
            <w14:solidFill>
              <w14:schemeClr w14:val="tx1"/>
            </w14:solidFill>
          </w14:textFill>
        </w:rPr>
        <w:t xml:space="preserve">   </w:t>
      </w:r>
      <w:r>
        <w:rPr>
          <w:rFonts w:hint="eastAsia"/>
          <w:bCs/>
          <w:color w:val="000000" w:themeColor="text1"/>
          <w:lang w:val="en-US" w:eastAsia="zh-CN"/>
          <w14:textFill>
            <w14:solidFill>
              <w14:schemeClr w14:val="tx1"/>
            </w14:solidFill>
          </w14:textFill>
        </w:rPr>
        <w:t xml:space="preserve"> </w:t>
      </w:r>
      <w:r>
        <w:rPr>
          <w:bCs/>
          <w:color w:val="000000" w:themeColor="text1"/>
          <w14:textFill>
            <w14:solidFill>
              <w14:schemeClr w14:val="tx1"/>
            </w14:solidFill>
          </w14:textFill>
        </w:rPr>
        <w:t>3</w:t>
      </w:r>
      <w:r>
        <w:rPr>
          <w:rFonts w:hint="eastAsia"/>
          <w:bCs/>
          <w:color w:val="000000" w:themeColor="text1"/>
          <w14:textFill>
            <w14:solidFill>
              <w14:schemeClr w14:val="tx1"/>
            </w14:solidFill>
          </w14:textFill>
        </w:rPr>
        <w:t>个</w:t>
      </w:r>
    </w:p>
    <w:p>
      <w:pPr>
        <w:spacing w:line="360" w:lineRule="auto"/>
        <w:ind w:firstLine="472" w:firstLineChars="196"/>
        <w:rPr>
          <w:rFonts w:ascii="宋体" w:hAnsi="宋体"/>
          <w:b/>
          <w:color w:val="000000"/>
          <w:sz w:val="24"/>
        </w:rPr>
      </w:pPr>
      <w:r>
        <w:rPr>
          <w:rFonts w:hint="eastAsia" w:ascii="宋体" w:hAnsi="宋体"/>
          <w:b/>
          <w:color w:val="000000"/>
          <w:sz w:val="24"/>
        </w:rPr>
        <w:t>三、其它设备要求</w:t>
      </w:r>
    </w:p>
    <w:p>
      <w:pPr>
        <w:spacing w:line="360" w:lineRule="auto"/>
        <w:ind w:firstLine="482" w:firstLineChars="200"/>
        <w:rPr>
          <w:rFonts w:ascii="宋体" w:hAnsi="宋体"/>
          <w:b/>
          <w:color w:val="000000"/>
          <w:sz w:val="24"/>
        </w:rPr>
      </w:pPr>
      <w:r>
        <w:rPr>
          <w:rFonts w:hint="eastAsia" w:ascii="宋体" w:hAnsi="宋体"/>
          <w:b/>
          <w:color w:val="000000"/>
          <w:sz w:val="24"/>
        </w:rPr>
        <w:t>四、履约支付条款</w:t>
      </w:r>
    </w:p>
    <w:p>
      <w:pPr>
        <w:spacing w:line="360" w:lineRule="auto"/>
        <w:ind w:firstLine="480" w:firstLineChars="200"/>
        <w:rPr>
          <w:rFonts w:ascii="宋体" w:hAnsi="宋体"/>
          <w:b/>
          <w:bCs/>
          <w:color w:val="000000"/>
          <w:sz w:val="24"/>
        </w:rPr>
      </w:pPr>
      <w:r>
        <w:rPr>
          <w:rFonts w:hint="eastAsia" w:ascii="宋体" w:hAnsi="宋体"/>
          <w:color w:val="000000"/>
          <w:sz w:val="24"/>
        </w:rPr>
        <w:t>▲1.</w:t>
      </w:r>
      <w:r>
        <w:rPr>
          <w:rFonts w:hint="eastAsia" w:ascii="宋体" w:hAnsi="宋体"/>
          <w:b/>
          <w:bCs/>
          <w:color w:val="000000"/>
          <w:sz w:val="24"/>
        </w:rPr>
        <w:t>合同签订后</w:t>
      </w:r>
      <w:r>
        <w:rPr>
          <w:rFonts w:ascii="宋体" w:hAnsi="宋体"/>
          <w:b/>
          <w:bCs/>
          <w:color w:val="000000"/>
          <w:sz w:val="24"/>
        </w:rPr>
        <w:t>160</w:t>
      </w:r>
      <w:r>
        <w:rPr>
          <w:rFonts w:hint="eastAsia" w:ascii="宋体" w:hAnsi="宋体"/>
          <w:b/>
          <w:bCs/>
          <w:color w:val="000000"/>
          <w:sz w:val="24"/>
        </w:rPr>
        <w:t>天内完成供货安装，质保期1年，自项目验收合格之日起计算。</w:t>
      </w:r>
    </w:p>
    <w:p>
      <w:pPr>
        <w:spacing w:line="360" w:lineRule="auto"/>
        <w:ind w:firstLine="480" w:firstLineChars="200"/>
        <w:rPr>
          <w:rFonts w:ascii="宋体" w:hAnsi="宋体"/>
          <w:color w:val="000000"/>
          <w:sz w:val="24"/>
        </w:rPr>
      </w:pPr>
      <w:r>
        <w:rPr>
          <w:rFonts w:hint="eastAsia" w:ascii="宋体" w:hAnsi="宋体"/>
          <w:color w:val="000000"/>
          <w:sz w:val="24"/>
        </w:rPr>
        <w:t>2.缴纳履约保证金后，分两次付款。在合同签订、人员进场工作一个月内支付合同总金额的30%；在项目完成并验收合格后10个工作日内支付合同余款。自验收合格之日起计壹年后，甲方全额无息退还乙方的履约保证金。</w:t>
      </w:r>
    </w:p>
    <w:p>
      <w:pPr>
        <w:widowControl/>
        <w:spacing w:line="360" w:lineRule="auto"/>
        <w:ind w:firstLine="482" w:firstLineChars="200"/>
        <w:jc w:val="left"/>
        <w:rPr>
          <w:rFonts w:ascii="宋体" w:hAnsi="宋体"/>
          <w:b/>
          <w:color w:val="000000"/>
          <w:kern w:val="0"/>
          <w:sz w:val="24"/>
        </w:rPr>
      </w:pPr>
      <w:r>
        <w:rPr>
          <w:rFonts w:hint="eastAsia" w:ascii="宋体" w:hAnsi="宋体"/>
          <w:b/>
          <w:bCs/>
          <w:color w:val="000000"/>
          <w:sz w:val="24"/>
        </w:rPr>
        <w:t>注：</w:t>
      </w:r>
      <w:r>
        <w:rPr>
          <w:rFonts w:hint="eastAsia" w:ascii="宋体" w:hAnsi="宋体"/>
          <w:b/>
          <w:color w:val="000000"/>
          <w:kern w:val="0"/>
          <w:sz w:val="24"/>
        </w:rPr>
        <w:t>1.核心产品为电感耦合等离子体串联质谱仪。</w:t>
      </w:r>
    </w:p>
    <w:p>
      <w:pPr>
        <w:spacing w:line="360" w:lineRule="auto"/>
        <w:ind w:firstLine="480" w:firstLineChars="200"/>
        <w:rPr>
          <w:rFonts w:ascii="宋体" w:hAnsi="宋体"/>
          <w:b/>
          <w:bCs/>
          <w:color w:val="000000"/>
          <w:sz w:val="24"/>
        </w:rPr>
      </w:pPr>
      <w:r>
        <w:rPr>
          <w:rFonts w:hint="eastAsia" w:ascii="宋体" w:hAnsi="宋体"/>
          <w:color w:val="000000"/>
          <w:sz w:val="24"/>
        </w:rPr>
        <w:t>▲</w:t>
      </w:r>
      <w:r>
        <w:rPr>
          <w:rFonts w:hint="eastAsia" w:ascii="宋体" w:hAnsi="宋体"/>
          <w:b/>
          <w:color w:val="000000"/>
          <w:kern w:val="0"/>
          <w:sz w:val="24"/>
        </w:rPr>
        <w:t>2.</w:t>
      </w:r>
      <w:r>
        <w:rPr>
          <w:rFonts w:hint="eastAsia" w:ascii="宋体" w:hAnsi="宋体"/>
          <w:b/>
          <w:color w:val="000000"/>
          <w:sz w:val="24"/>
        </w:rPr>
        <w:t>本项目如需委托第三方进行进口代理，所产生的相关费用由投标方全额承担,要求由我校定点进口代理单位实施。</w:t>
      </w:r>
    </w:p>
    <w:p>
      <w:pPr>
        <w:spacing w:line="360" w:lineRule="auto"/>
        <w:ind w:firstLine="482" w:firstLineChars="200"/>
        <w:rPr>
          <w:rFonts w:ascii="宋体" w:hAnsi="宋体"/>
          <w:b/>
          <w:color w:val="000000"/>
          <w:kern w:val="0"/>
          <w:sz w:val="24"/>
        </w:rPr>
      </w:pPr>
      <w:r>
        <w:rPr>
          <w:rFonts w:hint="eastAsia" w:ascii="宋体" w:hAnsi="宋体"/>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w:t>
      </w:r>
      <w:r>
        <w:rPr>
          <w:rFonts w:ascii="宋体" w:hAnsi="宋体"/>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电感耦合等离子体串联质谱仪采购合同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1"/>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color w:val="000000"/>
        </w:rPr>
        <w:t>电感耦合等离子体串联质谱仪</w:t>
      </w:r>
      <w:r>
        <w:rPr>
          <w:rFonts w:hint="eastAsia"/>
          <w:color w:val="000000"/>
          <w:kern w:val="2"/>
        </w:rPr>
        <w:t>一</w:t>
      </w:r>
      <w:r>
        <w:rPr>
          <w:rFonts w:hint="eastAsia"/>
          <w:color w:val="000000"/>
          <w:kern w:val="2"/>
          <w:lang w:eastAsia="zh-CN"/>
        </w:rPr>
        <w:t>套</w:t>
      </w:r>
      <w:bookmarkStart w:id="6" w:name="_GoBack"/>
      <w:bookmarkEnd w:id="6"/>
      <w:r>
        <w:rPr>
          <w:color w:val="000000"/>
          <w:kern w:val="2"/>
        </w:rPr>
        <w:t>，经双方协商一致本着平等自愿的原则签订本合同。</w:t>
      </w:r>
    </w:p>
    <w:p>
      <w:pPr>
        <w:pStyle w:val="11"/>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1"/>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2"/>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1"/>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1"/>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1.甲方通知送达地址：浙江省衢州市柯城区九华北大道78号。</w:t>
      </w:r>
    </w:p>
    <w:p>
      <w:pPr>
        <w:pStyle w:val="11"/>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2.乙方通知送达地址：</w:t>
      </w:r>
    </w:p>
    <w:p>
      <w:pPr>
        <w:pStyle w:val="11"/>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int="eastAsia" w:hAnsi="宋体"/>
          <w:color w:val="000000"/>
          <w:sz w:val="24"/>
          <w:szCs w:val="24"/>
        </w:rPr>
        <w:t>12</w:t>
      </w:r>
      <w:r>
        <w:rPr>
          <w:rFonts w:hAnsi="宋体"/>
          <w:color w:val="000000"/>
          <w:sz w:val="24"/>
          <w:szCs w:val="24"/>
        </w:rPr>
        <w:t>个月。如因甲方原因导致不能及时安装的，产品的质保期自到货之日起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1"/>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5"/>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hint="eastAsia" w:ascii="宋体" w:hAnsi="宋体"/>
          <w:b/>
          <w:bCs/>
          <w:color w:val="000000" w:themeColor="text1"/>
          <w:kern w:val="0"/>
          <w:sz w:val="24"/>
          <w14:textFill>
            <w14:solidFill>
              <w14:schemeClr w14:val="tx1"/>
            </w14:solidFill>
          </w14:textFill>
        </w:rPr>
        <w:t>1</w:t>
      </w:r>
      <w:r>
        <w:rPr>
          <w:rFonts w:ascii="宋体" w:hAnsi="宋体"/>
          <w:b/>
          <w:bCs/>
          <w:color w:val="000000" w:themeColor="text1"/>
          <w:kern w:val="0"/>
          <w:sz w:val="24"/>
          <w14:textFill>
            <w14:solidFill>
              <w14:schemeClr w14:val="tx1"/>
            </w14:solidFill>
          </w14:textFill>
        </w:rPr>
        <w:t>60天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5"/>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缴纳履约保证金后，分两次付款。在合同签订、人员进场工作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1"/>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5"/>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outlineLvl w:val="0"/>
        <w:rPr>
          <w:rFonts w:ascii="宋体" w:hAnsi="宋体"/>
          <w:color w:val="000000"/>
          <w:sz w:val="32"/>
        </w:rPr>
      </w:pPr>
    </w:p>
    <w:p>
      <w:pPr>
        <w:spacing w:line="360" w:lineRule="auto"/>
        <w:outlineLvl w:val="0"/>
        <w:rPr>
          <w:rFonts w:ascii="宋体" w:hAnsi="宋体"/>
          <w:b/>
          <w:color w:val="000000"/>
          <w:sz w:val="32"/>
        </w:rPr>
      </w:pPr>
    </w:p>
    <w:p>
      <w:pPr>
        <w:spacing w:line="360" w:lineRule="auto"/>
        <w:ind w:firstLine="643" w:firstLineChars="200"/>
        <w:jc w:val="center"/>
        <w:outlineLvl w:val="0"/>
        <w:rPr>
          <w:rFonts w:ascii="宋体" w:hAnsi="宋体"/>
          <w:b/>
          <w:color w:val="000000"/>
          <w:sz w:val="32"/>
        </w:rPr>
      </w:pP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5" w:name="_Hlk41297247"/>
      <w:r>
        <w:rPr>
          <w:rFonts w:hint="eastAsia" w:ascii="宋体" w:hAnsi="宋体"/>
          <w:color w:val="000000"/>
          <w:sz w:val="24"/>
        </w:rPr>
        <w:t>，投标人应派代表参加询标</w:t>
      </w:r>
      <w:bookmarkEnd w:id="5"/>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6"/>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ascii="宋体" w:hAnsi="宋体"/>
          <w:b/>
          <w:color w:val="000000"/>
          <w:sz w:val="24"/>
        </w:rPr>
      </w:pPr>
      <w:r>
        <w:rPr>
          <w:rFonts w:hint="eastAsia" w:ascii="宋体" w:hAnsi="宋体"/>
          <w:b/>
          <w:color w:val="000000"/>
          <w:sz w:val="24"/>
        </w:rPr>
        <w:t xml:space="preserve">  </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 xml:space="preserve"> 三、评定内容及评标标准</w:t>
      </w:r>
    </w:p>
    <w:tbl>
      <w:tblPr>
        <w:tblStyle w:val="12"/>
        <w:tblpPr w:leftFromText="180" w:rightFromText="180" w:vertAnchor="text" w:horzAnchor="page" w:tblpXSpec="center" w:tblpY="5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color w:val="000000"/>
                <w:kern w:val="0"/>
                <w:sz w:val="24"/>
              </w:rPr>
              <w:t>240</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w:t>
            </w:r>
            <w:r>
              <w:rPr>
                <w:rFonts w:ascii="宋体" w:hAnsi="宋体"/>
                <w:color w:val="000000"/>
                <w:szCs w:val="21"/>
              </w:rPr>
              <w:t>18</w:t>
            </w:r>
            <w:r>
              <w:rPr>
                <w:rFonts w:hint="eastAsia" w:ascii="宋体" w:hAnsi="宋体"/>
                <w:color w:val="000000"/>
                <w:szCs w:val="21"/>
              </w:rPr>
              <w:t>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spacing w:line="360" w:lineRule="auto"/>
              <w:jc w:val="left"/>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hint="default" w:ascii="宋体" w:hAnsi="宋体" w:eastAsia="宋体" w:cs="仿宋_GB2312"/>
                <w:color w:val="000000"/>
                <w:szCs w:val="21"/>
                <w:lang w:val="en-US" w:eastAsia="zh-CN"/>
              </w:rPr>
            </w:pPr>
            <w:r>
              <w:rPr>
                <w:rFonts w:hint="eastAsia" w:ascii="宋体" w:hAnsi="宋体"/>
                <w:color w:val="000000"/>
                <w:szCs w:val="21"/>
              </w:rPr>
              <w:t>设备（系统）的可操性（0-2分）、稳定性（0-2分）、是否便于维护（0-2分）。</w:t>
            </w:r>
            <w:r>
              <w:rPr>
                <w:rFonts w:hint="eastAsia" w:ascii="宋体" w:hAnsi="宋体"/>
                <w:color w:val="000000"/>
                <w:szCs w:val="21"/>
                <w:lang w:val="en-US" w:eastAsia="zh-CN"/>
              </w:rPr>
              <w:t>(0-6分)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hint="eastAsia" w:ascii="宋体" w:hAnsi="宋体" w:eastAsia="宋体" w:cs="仿宋_GB2312"/>
                <w:color w:val="000000"/>
                <w:szCs w:val="21"/>
                <w:lang w:eastAsia="zh-CN"/>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w:t>
            </w:r>
            <w:r>
              <w:rPr>
                <w:rFonts w:hint="eastAsia" w:ascii="宋体" w:hAnsi="宋体"/>
                <w:color w:val="000000"/>
                <w:szCs w:val="21"/>
                <w:lang w:eastAsia="zh-CN"/>
              </w:rPr>
              <w:t>（</w:t>
            </w:r>
            <w:r>
              <w:rPr>
                <w:rFonts w:hint="eastAsia" w:ascii="宋体" w:hAnsi="宋体"/>
                <w:color w:val="000000"/>
                <w:szCs w:val="21"/>
                <w:lang w:val="en-US" w:eastAsia="zh-CN"/>
              </w:rPr>
              <w:t>0-6分</w:t>
            </w:r>
            <w:r>
              <w:rPr>
                <w:rFonts w:hint="eastAsia" w:ascii="宋体" w:hAnsi="宋体"/>
                <w:color w:val="000000"/>
                <w:szCs w:val="21"/>
                <w:lang w:eastAsia="zh-CN"/>
              </w:rPr>
              <w:t>）</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w:t>
            </w:r>
          </w:p>
          <w:p>
            <w:pPr>
              <w:spacing w:line="360" w:lineRule="auto"/>
              <w:jc w:val="left"/>
              <w:rPr>
                <w:rFonts w:ascii="宋体" w:hAnsi="宋体"/>
                <w:color w:val="000000"/>
                <w:szCs w:val="21"/>
              </w:rPr>
            </w:pPr>
            <w:r>
              <w:rPr>
                <w:rFonts w:hint="eastAsia" w:ascii="宋体" w:hAnsi="宋体"/>
                <w:color w:val="000000"/>
                <w:szCs w:val="21"/>
              </w:rPr>
              <w:t>（0-4分）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w:t>
            </w:r>
            <w:r>
              <w:rPr>
                <w:rFonts w:ascii="宋体" w:hAnsi="宋体"/>
                <w:color w:val="000000"/>
                <w:szCs w:val="21"/>
              </w:rPr>
              <w:t>2</w:t>
            </w:r>
            <w:r>
              <w:rPr>
                <w:rFonts w:hint="eastAsia" w:ascii="宋体" w:hAnsi="宋体"/>
                <w:color w:val="000000"/>
                <w:szCs w:val="21"/>
              </w:rPr>
              <w:t>分，最高得8分。(0-8分)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FF0000"/>
                <w:szCs w:val="21"/>
              </w:rPr>
            </w:pPr>
            <w:r>
              <w:rPr>
                <w:rFonts w:hint="eastAsia" w:ascii="宋体" w:hAnsi="宋体" w:cs="仿宋_GB2312"/>
                <w:color w:val="FF0000"/>
                <w:szCs w:val="21"/>
              </w:rPr>
              <w:t>是否满足招标文件要求，投标文件制作是否完整、格式规范、内容齐全、表述准确、条理清晰，内容无前后矛盾。（0-</w:t>
            </w:r>
            <w:r>
              <w:rPr>
                <w:rFonts w:ascii="宋体" w:hAnsi="宋体" w:cs="仿宋_GB2312"/>
                <w:color w:val="FF0000"/>
                <w:szCs w:val="21"/>
              </w:rPr>
              <w:t>1</w:t>
            </w:r>
            <w:r>
              <w:rPr>
                <w:rFonts w:hint="eastAsia" w:ascii="宋体" w:hAnsi="宋体" w:cs="仿宋_GB2312"/>
                <w:color w:val="FF0000"/>
                <w:szCs w:val="21"/>
              </w:rPr>
              <w:t>分）</w:t>
            </w:r>
          </w:p>
        </w:tc>
        <w:tc>
          <w:tcPr>
            <w:tcW w:w="863" w:type="dxa"/>
            <w:vAlign w:val="center"/>
          </w:tcPr>
          <w:p>
            <w:pPr>
              <w:widowControl/>
              <w:spacing w:line="360" w:lineRule="auto"/>
              <w:jc w:val="center"/>
              <w:rPr>
                <w:rFonts w:ascii="宋体" w:hAnsi="宋体" w:cs="仿宋_GB2312"/>
                <w:color w:val="FF0000"/>
                <w:szCs w:val="21"/>
              </w:rPr>
            </w:pPr>
            <w:r>
              <w:rPr>
                <w:rFonts w:ascii="宋体" w:hAnsi="宋体" w:cs="仿宋_GB2312"/>
                <w:color w:val="FF0000"/>
                <w:szCs w:val="21"/>
              </w:rPr>
              <w:t>1</w:t>
            </w:r>
            <w:r>
              <w:rPr>
                <w:rFonts w:hint="eastAsia" w:ascii="宋体" w:hAnsi="宋体" w:cs="仿宋_GB2312"/>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continue"/>
            <w:vAlign w:val="center"/>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w:t>
            </w:r>
            <w:r>
              <w:rPr>
                <w:rFonts w:ascii="宋体" w:hAnsi="宋体" w:cs="仿宋_GB2312"/>
                <w:color w:val="000000"/>
                <w:szCs w:val="21"/>
              </w:rPr>
              <w:t>4</w:t>
            </w:r>
            <w:r>
              <w:rPr>
                <w:rFonts w:hint="eastAsia" w:ascii="宋体" w:hAnsi="宋体" w:cs="仿宋_GB2312"/>
                <w:color w:val="000000"/>
                <w:szCs w:val="21"/>
              </w:rPr>
              <w:t>分）</w:t>
            </w:r>
          </w:p>
        </w:tc>
        <w:tc>
          <w:tcPr>
            <w:tcW w:w="863" w:type="dxa"/>
            <w:vAlign w:val="center"/>
          </w:tcPr>
          <w:p>
            <w:pPr>
              <w:widowControl/>
              <w:spacing w:line="360" w:lineRule="auto"/>
              <w:jc w:val="center"/>
              <w:rPr>
                <w:rFonts w:ascii="宋体" w:hAns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FF0000"/>
                <w:szCs w:val="21"/>
              </w:rPr>
            </w:pPr>
            <w:r>
              <w:rPr>
                <w:rFonts w:hint="eastAsia" w:ascii="宋体" w:hAnsi="宋体" w:cs="仿宋_GB2312"/>
                <w:color w:val="FF0000"/>
                <w:szCs w:val="21"/>
              </w:rPr>
              <w:t>质保期超过招标文件要求的，每增加半年得1分，最多</w:t>
            </w:r>
            <w:r>
              <w:rPr>
                <w:rFonts w:hint="eastAsia" w:ascii="宋体" w:hAnsi="宋体" w:cs="仿宋_GB2312"/>
                <w:color w:val="FF0000"/>
                <w:szCs w:val="21"/>
                <w:lang w:val="en-US" w:eastAsia="zh-CN"/>
              </w:rPr>
              <w:t>4</w:t>
            </w:r>
            <w:r>
              <w:rPr>
                <w:rFonts w:hint="eastAsia" w:ascii="宋体" w:hAnsi="宋体" w:cs="仿宋_GB2312"/>
                <w:color w:val="FF0000"/>
                <w:szCs w:val="21"/>
              </w:rPr>
              <w:t>分。</w:t>
            </w:r>
          </w:p>
          <w:p>
            <w:pPr>
              <w:widowControl/>
              <w:spacing w:line="360" w:lineRule="auto"/>
              <w:jc w:val="left"/>
              <w:rPr>
                <w:rFonts w:ascii="宋体" w:hAnsi="宋体" w:cs="仿宋_GB2312"/>
                <w:color w:val="FF0000"/>
                <w:szCs w:val="21"/>
              </w:rPr>
            </w:pPr>
            <w:r>
              <w:rPr>
                <w:rFonts w:hint="eastAsia" w:ascii="宋体" w:hAnsi="宋体" w:cs="仿宋_GB2312"/>
                <w:color w:val="FF0000"/>
                <w:szCs w:val="21"/>
              </w:rPr>
              <w:t>（0-</w:t>
            </w:r>
            <w:r>
              <w:rPr>
                <w:rFonts w:hint="eastAsia" w:ascii="宋体" w:hAnsi="宋体" w:cs="仿宋_GB2312"/>
                <w:color w:val="FF0000"/>
                <w:szCs w:val="21"/>
                <w:lang w:val="en-US" w:eastAsia="zh-CN"/>
              </w:rPr>
              <w:t>4</w:t>
            </w:r>
            <w:r>
              <w:rPr>
                <w:rFonts w:hint="eastAsia" w:ascii="宋体" w:hAnsi="宋体" w:cs="仿宋_GB2312"/>
                <w:color w:val="FF0000"/>
                <w:szCs w:val="21"/>
              </w:rPr>
              <w:t>分）</w:t>
            </w:r>
          </w:p>
        </w:tc>
        <w:tc>
          <w:tcPr>
            <w:tcW w:w="863" w:type="dxa"/>
            <w:vAlign w:val="center"/>
          </w:tcPr>
          <w:p>
            <w:pPr>
              <w:widowControl/>
              <w:spacing w:line="360" w:lineRule="auto"/>
              <w:jc w:val="center"/>
              <w:rPr>
                <w:rFonts w:ascii="宋体" w:hAnsi="宋体" w:cs="仿宋_GB2312"/>
                <w:color w:val="FF0000"/>
                <w:szCs w:val="21"/>
              </w:rPr>
            </w:pPr>
            <w:r>
              <w:rPr>
                <w:rFonts w:hint="eastAsia" w:ascii="宋体" w:hAnsi="宋体" w:cs="仿宋_GB2312"/>
                <w:color w:val="FF0000"/>
                <w:szCs w:val="21"/>
                <w:lang w:val="en-US" w:eastAsia="zh-CN"/>
              </w:rPr>
              <w:t>4</w:t>
            </w:r>
            <w:r>
              <w:rPr>
                <w:rFonts w:hint="eastAsia" w:ascii="宋体" w:hAnsi="宋体" w:cs="仿宋_GB2312"/>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eastAsia" w:ascii="宋体" w:hAnsi="宋体" w:cs="仿宋_GB2312"/>
                <w:color w:val="000000"/>
                <w:szCs w:val="21"/>
                <w:lang w:val="en-US" w:eastAsia="zh-CN"/>
              </w:rPr>
              <w:t>4</w:t>
            </w:r>
            <w:r>
              <w:rPr>
                <w:rFonts w:hint="eastAsia" w:ascii="宋体" w:hAnsi="宋体" w:cs="仿宋_GB2312"/>
                <w:color w:val="000000"/>
                <w:szCs w:val="21"/>
              </w:rPr>
              <w:t>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lang w:val="en-US" w:eastAsia="zh-CN"/>
              </w:rPr>
              <w:t>4</w:t>
            </w:r>
            <w:r>
              <w:rPr>
                <w:rFonts w:hint="eastAsia" w:ascii="宋体" w:hAnsi="宋体" w:cs="仿宋_GB2312"/>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spacing w:line="360" w:lineRule="auto"/>
              <w:rPr>
                <w:rFonts w:ascii="宋体" w:hAnsi="宋体" w:cs="仿宋_GB2312"/>
                <w:color w:val="000000"/>
                <w:szCs w:val="21"/>
              </w:rPr>
            </w:pPr>
            <w:r>
              <w:rPr>
                <w:rFonts w:ascii="宋体" w:hAnsi="宋体" w:cs="仿宋_GB2312"/>
                <w:color w:val="000000"/>
                <w:szCs w:val="21"/>
              </w:rPr>
              <w:t>投标人质保期满后的技术支持和维护费用，提供上门维护、升级服务以及给予招标人的各种优惠条件（包括易损备品备件、专用耗材、人工费等）</w:t>
            </w:r>
            <w:r>
              <w:rPr>
                <w:rFonts w:hint="eastAsia" w:ascii="宋体" w:hAnsi="宋体" w:cs="仿宋_GB2312"/>
                <w:color w:val="000000"/>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b/>
          <w:color w:val="000000"/>
          <w:spacing w:val="20"/>
          <w:sz w:val="32"/>
          <w:szCs w:val="32"/>
        </w:rPr>
        <w:t>采购项目</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color w:val="000000"/>
          <w:spacing w:val="20"/>
          <w:sz w:val="32"/>
          <w:szCs w:val="32"/>
          <w:u w:val="single"/>
        </w:rPr>
        <w:t>**</w:t>
      </w:r>
      <w:r>
        <w:rPr>
          <w:rFonts w:hint="eastAsia" w:ascii="宋体" w:hAnsi="宋体"/>
          <w:b/>
          <w:color w:val="000000"/>
          <w:sz w:val="28"/>
          <w:szCs w:val="28"/>
          <w:u w:val="single"/>
          <w:lang w:val="zh-CN"/>
        </w:rPr>
        <w:t>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rPr>
        <w:t>**</w:t>
      </w:r>
      <w:r>
        <w:rPr>
          <w:rFonts w:hint="eastAsia" w:ascii="宋体" w:hAnsi="宋体"/>
          <w:b/>
          <w:color w:val="000000"/>
          <w:sz w:val="28"/>
          <w:szCs w:val="28"/>
          <w:u w:val="single"/>
          <w:lang w:val="zh-CN"/>
        </w:rPr>
        <w:t>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jc w:val="center"/>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r>
        <w:rPr>
          <w:rFonts w:hint="eastAsia" w:ascii="宋体" w:hAnsi="宋体"/>
          <w:sz w:val="28"/>
          <w:szCs w:val="28"/>
          <w:lang w:val="zh-CN"/>
        </w:rPr>
        <w:t xml:space="preserve">  </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             电话：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衢院招2020-</w:t>
      </w:r>
      <w:r>
        <w:rPr>
          <w:rFonts w:hint="eastAsia" w:ascii="宋体" w:hAnsi="宋体"/>
          <w:b/>
          <w:color w:val="000000"/>
          <w:sz w:val="28"/>
          <w:szCs w:val="28"/>
        </w:rPr>
        <w:t>**</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rPr>
        <w:t>**</w:t>
      </w:r>
      <w:r>
        <w:rPr>
          <w:rFonts w:hint="eastAsia" w:ascii="宋体" w:hAnsi="宋体"/>
          <w:b/>
          <w:color w:val="000000"/>
          <w:sz w:val="28"/>
          <w:szCs w:val="28"/>
          <w:lang w:val="zh-CN"/>
        </w:rPr>
        <w:t>采购项目</w:t>
      </w:r>
    </w:p>
    <w:p>
      <w:pPr>
        <w:autoSpaceDE w:val="0"/>
        <w:autoSpaceDN w:val="0"/>
        <w:adjustRightInd w:val="0"/>
        <w:ind w:left="1383" w:hanging="1383" w:hangingChars="492"/>
        <w:rPr>
          <w:rFonts w:ascii="宋体" w:hAnsi="宋体"/>
          <w:b/>
          <w:color w:val="000000"/>
          <w:sz w:val="28"/>
          <w:szCs w:val="28"/>
        </w:rPr>
      </w:pP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rFonts w:hint="eastAsia" w:ascii="宋体" w:hAnsi="宋体"/>
          <w:b/>
          <w:color w:val="000000"/>
          <w:spacing w:val="20"/>
          <w:sz w:val="32"/>
          <w:szCs w:val="32"/>
          <w:lang w:val="zh-CN"/>
        </w:rPr>
        <w:t>采购项目</w:t>
      </w:r>
    </w:p>
    <w:p>
      <w:pPr>
        <w:spacing w:line="480" w:lineRule="exact"/>
        <w:ind w:left="480"/>
        <w:rPr>
          <w:rFonts w:ascii="宋体" w:hAnsi="宋体"/>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rFonts w:hint="eastAsia" w:ascii="宋体" w:hAnsi="宋体"/>
          <w:b/>
          <w:color w:val="000000"/>
          <w:sz w:val="28"/>
          <w:szCs w:val="28"/>
          <w:lang w:val="zh-CN"/>
        </w:rPr>
        <w:t>采购项目</w:t>
      </w:r>
    </w:p>
    <w:p>
      <w:pPr>
        <w:spacing w:line="480" w:lineRule="exact"/>
        <w:rPr>
          <w:rFonts w:ascii="宋体" w:hAnsi="宋体"/>
          <w:bCs/>
          <w:color w:val="000000"/>
          <w:sz w:val="28"/>
          <w:szCs w:val="28"/>
        </w:rPr>
      </w:pPr>
    </w:p>
    <w:tbl>
      <w:tblPr>
        <w:tblStyle w:val="12"/>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color w:val="000000"/>
          <w:sz w:val="28"/>
          <w:szCs w:val="28"/>
          <w:lang w:val="zh-CN"/>
        </w:rPr>
      </w:pPr>
    </w:p>
    <w:p>
      <w:pPr>
        <w:spacing w:line="480" w:lineRule="exact"/>
        <w:rPr>
          <w:rFonts w:ascii="宋体" w:hAnsi="宋体"/>
          <w:b/>
          <w:color w:val="000000"/>
          <w:sz w:val="28"/>
          <w:szCs w:val="28"/>
          <w:lang w:val="zh-CN"/>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w:t>
      </w: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项目名称：**采购项目</w:t>
      </w:r>
    </w:p>
    <w:tbl>
      <w:tblPr>
        <w:tblStyle w:val="12"/>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w:t>
      </w: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项目名称: **采购项目</w:t>
      </w:r>
    </w:p>
    <w:tbl>
      <w:tblPr>
        <w:tblStyle w:val="12"/>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pStyle w:val="14"/>
        <w:ind w:firstLine="579"/>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ascii="仿宋_GB2312" w:eastAsia="仿宋_GB2312"/>
          <w:spacing w:val="6"/>
          <w:sz w:val="28"/>
          <w:szCs w:val="28"/>
        </w:rPr>
      </w:pPr>
      <w:r>
        <w:rPr>
          <w:rFonts w:hint="eastAsia" w:ascii="仿宋_GB2312" w:eastAsia="仿宋_GB2312"/>
          <w:spacing w:val="6"/>
          <w:sz w:val="28"/>
          <w:szCs w:val="28"/>
        </w:rPr>
        <w:t xml:space="preserve">                      日  期：</w:t>
      </w: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19"/>
        <w:spacing w:line="540" w:lineRule="exact"/>
        <w:ind w:firstLine="0" w:firstLineChars="0"/>
        <w:jc w:val="center"/>
        <w:rPr>
          <w:rFonts w:ascii="宋体" w:cs="仿宋_GB2312"/>
          <w:color w:val="000000"/>
          <w:sz w:val="28"/>
        </w:rPr>
      </w:pPr>
      <w:r>
        <w:rPr>
          <w:rFonts w:hint="eastAsia" w:ascii="宋体" w:eastAsia="宋体"/>
          <w:sz w:val="28"/>
        </w:rPr>
        <w:t xml:space="preserve">                                       日  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宋体" w:hAnsi="宋体"/>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03B76"/>
    <w:rsid w:val="00004BE8"/>
    <w:rsid w:val="0000600B"/>
    <w:rsid w:val="00021019"/>
    <w:rsid w:val="00026A9C"/>
    <w:rsid w:val="00054E34"/>
    <w:rsid w:val="000650FF"/>
    <w:rsid w:val="000826F0"/>
    <w:rsid w:val="00090625"/>
    <w:rsid w:val="00096074"/>
    <w:rsid w:val="000B32DE"/>
    <w:rsid w:val="000C2756"/>
    <w:rsid w:val="000C4C6B"/>
    <w:rsid w:val="000F4400"/>
    <w:rsid w:val="00107544"/>
    <w:rsid w:val="00126B5D"/>
    <w:rsid w:val="00137174"/>
    <w:rsid w:val="001461B0"/>
    <w:rsid w:val="00157028"/>
    <w:rsid w:val="001717F1"/>
    <w:rsid w:val="001C3EA6"/>
    <w:rsid w:val="001D1BEE"/>
    <w:rsid w:val="001E3120"/>
    <w:rsid w:val="001E67EF"/>
    <w:rsid w:val="001F436B"/>
    <w:rsid w:val="00210424"/>
    <w:rsid w:val="002227E1"/>
    <w:rsid w:val="00247A64"/>
    <w:rsid w:val="0025153B"/>
    <w:rsid w:val="002541A8"/>
    <w:rsid w:val="002620BF"/>
    <w:rsid w:val="00267855"/>
    <w:rsid w:val="00276F31"/>
    <w:rsid w:val="002A377F"/>
    <w:rsid w:val="002A4AC7"/>
    <w:rsid w:val="002B229E"/>
    <w:rsid w:val="002B3BC1"/>
    <w:rsid w:val="002E57C5"/>
    <w:rsid w:val="002F2569"/>
    <w:rsid w:val="0030207D"/>
    <w:rsid w:val="00312368"/>
    <w:rsid w:val="003218A2"/>
    <w:rsid w:val="00322AC9"/>
    <w:rsid w:val="00331FF4"/>
    <w:rsid w:val="00340ECC"/>
    <w:rsid w:val="00351719"/>
    <w:rsid w:val="003662FB"/>
    <w:rsid w:val="00396BEB"/>
    <w:rsid w:val="003D6261"/>
    <w:rsid w:val="003E6AC0"/>
    <w:rsid w:val="00405B88"/>
    <w:rsid w:val="00411D1A"/>
    <w:rsid w:val="00441D4D"/>
    <w:rsid w:val="004515DB"/>
    <w:rsid w:val="00455B7C"/>
    <w:rsid w:val="004833A8"/>
    <w:rsid w:val="004F24E9"/>
    <w:rsid w:val="00512766"/>
    <w:rsid w:val="0051786D"/>
    <w:rsid w:val="0053081A"/>
    <w:rsid w:val="00534380"/>
    <w:rsid w:val="00563843"/>
    <w:rsid w:val="0056759E"/>
    <w:rsid w:val="00574A92"/>
    <w:rsid w:val="005A6E22"/>
    <w:rsid w:val="005B6AEE"/>
    <w:rsid w:val="00606CFF"/>
    <w:rsid w:val="006270E9"/>
    <w:rsid w:val="00636325"/>
    <w:rsid w:val="006554E4"/>
    <w:rsid w:val="00675611"/>
    <w:rsid w:val="006773E7"/>
    <w:rsid w:val="0068193E"/>
    <w:rsid w:val="006B462A"/>
    <w:rsid w:val="006C6B46"/>
    <w:rsid w:val="006E082D"/>
    <w:rsid w:val="006E4576"/>
    <w:rsid w:val="00713AE0"/>
    <w:rsid w:val="00742652"/>
    <w:rsid w:val="00744FDB"/>
    <w:rsid w:val="007709AF"/>
    <w:rsid w:val="00786FD7"/>
    <w:rsid w:val="007A5B71"/>
    <w:rsid w:val="007B6731"/>
    <w:rsid w:val="007E3E6F"/>
    <w:rsid w:val="007F1950"/>
    <w:rsid w:val="008076C4"/>
    <w:rsid w:val="00833CA7"/>
    <w:rsid w:val="00835F0F"/>
    <w:rsid w:val="00861609"/>
    <w:rsid w:val="00864D01"/>
    <w:rsid w:val="008660DB"/>
    <w:rsid w:val="00893543"/>
    <w:rsid w:val="008A4C21"/>
    <w:rsid w:val="008B004C"/>
    <w:rsid w:val="008B1834"/>
    <w:rsid w:val="008B4668"/>
    <w:rsid w:val="008B60AB"/>
    <w:rsid w:val="008C0677"/>
    <w:rsid w:val="008C10AA"/>
    <w:rsid w:val="008C243E"/>
    <w:rsid w:val="008C4852"/>
    <w:rsid w:val="009201D3"/>
    <w:rsid w:val="00922909"/>
    <w:rsid w:val="00962B9C"/>
    <w:rsid w:val="00982880"/>
    <w:rsid w:val="00991084"/>
    <w:rsid w:val="009B0E96"/>
    <w:rsid w:val="009B513F"/>
    <w:rsid w:val="009E6380"/>
    <w:rsid w:val="009F54EF"/>
    <w:rsid w:val="00A05D35"/>
    <w:rsid w:val="00A13BF4"/>
    <w:rsid w:val="00A244AD"/>
    <w:rsid w:val="00A604BE"/>
    <w:rsid w:val="00A65D92"/>
    <w:rsid w:val="00A7669A"/>
    <w:rsid w:val="00A85593"/>
    <w:rsid w:val="00AB4465"/>
    <w:rsid w:val="00AC1EED"/>
    <w:rsid w:val="00AC5D61"/>
    <w:rsid w:val="00AD047C"/>
    <w:rsid w:val="00AE4948"/>
    <w:rsid w:val="00B0251C"/>
    <w:rsid w:val="00B035C8"/>
    <w:rsid w:val="00B31B25"/>
    <w:rsid w:val="00B555A5"/>
    <w:rsid w:val="00B570DC"/>
    <w:rsid w:val="00B607DD"/>
    <w:rsid w:val="00B81A29"/>
    <w:rsid w:val="00B85956"/>
    <w:rsid w:val="00B876C5"/>
    <w:rsid w:val="00BB23B7"/>
    <w:rsid w:val="00BE18AC"/>
    <w:rsid w:val="00C00191"/>
    <w:rsid w:val="00C011FD"/>
    <w:rsid w:val="00C1171E"/>
    <w:rsid w:val="00C11AB6"/>
    <w:rsid w:val="00C162EB"/>
    <w:rsid w:val="00C64EBA"/>
    <w:rsid w:val="00C770DE"/>
    <w:rsid w:val="00C90006"/>
    <w:rsid w:val="00C95D9A"/>
    <w:rsid w:val="00D10E8F"/>
    <w:rsid w:val="00D278C7"/>
    <w:rsid w:val="00D440D7"/>
    <w:rsid w:val="00D653CC"/>
    <w:rsid w:val="00D701E5"/>
    <w:rsid w:val="00D86519"/>
    <w:rsid w:val="00D91339"/>
    <w:rsid w:val="00D96233"/>
    <w:rsid w:val="00DB03D3"/>
    <w:rsid w:val="00DB1EAC"/>
    <w:rsid w:val="00DC1B64"/>
    <w:rsid w:val="00DD5C77"/>
    <w:rsid w:val="00DE2EC0"/>
    <w:rsid w:val="00E0657C"/>
    <w:rsid w:val="00E17986"/>
    <w:rsid w:val="00E76BD5"/>
    <w:rsid w:val="00E86522"/>
    <w:rsid w:val="00E90F65"/>
    <w:rsid w:val="00E95451"/>
    <w:rsid w:val="00EA5F8F"/>
    <w:rsid w:val="00EA717A"/>
    <w:rsid w:val="00EC14BF"/>
    <w:rsid w:val="00ED34F1"/>
    <w:rsid w:val="00EE30E1"/>
    <w:rsid w:val="00EE670E"/>
    <w:rsid w:val="00F053BA"/>
    <w:rsid w:val="00F06937"/>
    <w:rsid w:val="00F1329A"/>
    <w:rsid w:val="00F13A10"/>
    <w:rsid w:val="00F25152"/>
    <w:rsid w:val="00F26A68"/>
    <w:rsid w:val="00F34FAC"/>
    <w:rsid w:val="00F47761"/>
    <w:rsid w:val="00F5576F"/>
    <w:rsid w:val="00FC5138"/>
    <w:rsid w:val="00FE4F10"/>
    <w:rsid w:val="02187698"/>
    <w:rsid w:val="022A746E"/>
    <w:rsid w:val="025B2094"/>
    <w:rsid w:val="0485730F"/>
    <w:rsid w:val="08DF08DA"/>
    <w:rsid w:val="124D769A"/>
    <w:rsid w:val="12D40E29"/>
    <w:rsid w:val="15FF093F"/>
    <w:rsid w:val="161E36FB"/>
    <w:rsid w:val="1948617A"/>
    <w:rsid w:val="1BC55D8D"/>
    <w:rsid w:val="1E104828"/>
    <w:rsid w:val="1EFB2345"/>
    <w:rsid w:val="208960CE"/>
    <w:rsid w:val="24F31F24"/>
    <w:rsid w:val="255C3C0A"/>
    <w:rsid w:val="25A743A9"/>
    <w:rsid w:val="269779FB"/>
    <w:rsid w:val="28BA5FF7"/>
    <w:rsid w:val="2B4A2E5A"/>
    <w:rsid w:val="2C265E0F"/>
    <w:rsid w:val="30306DBE"/>
    <w:rsid w:val="312D44BC"/>
    <w:rsid w:val="34682502"/>
    <w:rsid w:val="359F2370"/>
    <w:rsid w:val="398F42F7"/>
    <w:rsid w:val="3C722017"/>
    <w:rsid w:val="3EB3425D"/>
    <w:rsid w:val="3EC35E47"/>
    <w:rsid w:val="42460970"/>
    <w:rsid w:val="48A8110F"/>
    <w:rsid w:val="4B87064E"/>
    <w:rsid w:val="4C5B6C93"/>
    <w:rsid w:val="4C8E347B"/>
    <w:rsid w:val="4D797F0A"/>
    <w:rsid w:val="4D8F61BE"/>
    <w:rsid w:val="4F940E9D"/>
    <w:rsid w:val="524D78FE"/>
    <w:rsid w:val="531123B2"/>
    <w:rsid w:val="564734A2"/>
    <w:rsid w:val="594F66CB"/>
    <w:rsid w:val="5A6D7435"/>
    <w:rsid w:val="5C6416FE"/>
    <w:rsid w:val="5CAF2939"/>
    <w:rsid w:val="5E5B65D7"/>
    <w:rsid w:val="65EA5AA0"/>
    <w:rsid w:val="66DE34EE"/>
    <w:rsid w:val="679F386D"/>
    <w:rsid w:val="68B42305"/>
    <w:rsid w:val="714D666A"/>
    <w:rsid w:val="799306D5"/>
    <w:rsid w:val="7BB13194"/>
    <w:rsid w:val="7D4C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ind w:left="420" w:leftChars="200"/>
    </w:pPr>
  </w:style>
  <w:style w:type="paragraph" w:styleId="6">
    <w:name w:val="Block Text"/>
    <w:basedOn w:val="1"/>
    <w:qFormat/>
    <w:uiPriority w:val="0"/>
    <w:pPr>
      <w:spacing w:after="120"/>
      <w:ind w:left="1440" w:leftChars="700" w:right="1440" w:rightChars="700"/>
    </w:pPr>
    <w:rPr>
      <w:rFonts w:ascii="Calibri" w:hAnsi="Calibri"/>
      <w:szCs w:val="22"/>
    </w:rPr>
  </w:style>
  <w:style w:type="paragraph" w:styleId="7">
    <w:name w:val="Plain Text"/>
    <w:basedOn w:val="1"/>
    <w:link w:val="20"/>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6">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0">
    <w:name w:val="纯文本 字符"/>
    <w:link w:val="7"/>
    <w:qFormat/>
    <w:uiPriority w:val="99"/>
    <w:rPr>
      <w:rFonts w:ascii="宋体" w:hAnsi="Courier New"/>
      <w:sz w:val="21"/>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E77DD-B7C2-43E1-9DAA-06530BCF43E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39</Pages>
  <Words>3337</Words>
  <Characters>19024</Characters>
  <Lines>158</Lines>
  <Paragraphs>44</Paragraphs>
  <TotalTime>117</TotalTime>
  <ScaleCrop>false</ScaleCrop>
  <LinksUpToDate>false</LinksUpToDate>
  <CharactersWithSpaces>22317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2021-04-07T06:12:00Z</dcterms:created>
  <dc:creator>周建红</dc:creator>
  <cp:lastModifiedBy>周建红</cp:lastModifiedBy>
  <dcterms:modified xsi:type="dcterms:W3CDTF">2021-04-13T06:52:26Z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7417509BA1154840A436A0CCF4C799A0</vt:lpwstr>
  </property>
</Properties>
</file>