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
          <w:b/>
          <w:bCs/>
          <w:color w:val="auto"/>
          <w:sz w:val="44"/>
          <w:szCs w:val="44"/>
          <w:highlight w:val="none"/>
        </w:rPr>
      </w:pPr>
      <w:r>
        <w:rPr>
          <w:rFonts w:ascii="仿宋" w:hAnsi="仿宋" w:eastAsia="仿宋" w:cs="仿宋"/>
          <w:b/>
          <w:bCs/>
          <w:color w:val="auto"/>
          <w:spacing w:val="-4"/>
          <w:sz w:val="40"/>
          <w:szCs w:val="40"/>
          <w:highlight w:val="none"/>
        </w:rPr>
        <w:drawing>
          <wp:inline distT="0" distB="0" distL="114300" distR="114300">
            <wp:extent cx="2095500" cy="762000"/>
            <wp:effectExtent l="0" t="0" r="0" b="0"/>
            <wp:docPr id="8" name="图片 8" descr="174047322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40473221754"/>
                    <pic:cNvPicPr>
                      <a:picLocks noChangeAspect="1"/>
                    </pic:cNvPicPr>
                  </pic:nvPicPr>
                  <pic:blipFill>
                    <a:blip r:embed="rId13"/>
                    <a:stretch>
                      <a:fillRect/>
                    </a:stretch>
                  </pic:blipFill>
                  <pic:spPr>
                    <a:xfrm>
                      <a:off x="0" y="0"/>
                      <a:ext cx="2095500" cy="762000"/>
                    </a:xfrm>
                    <a:prstGeom prst="rect">
                      <a:avLst/>
                    </a:prstGeom>
                  </pic:spPr>
                </pic:pic>
              </a:graphicData>
            </a:graphic>
          </wp:inline>
        </w:drawing>
      </w:r>
    </w:p>
    <w:p>
      <w:pPr>
        <w:spacing w:line="360" w:lineRule="auto"/>
        <w:jc w:val="center"/>
        <w:rPr>
          <w:rFonts w:hint="eastAsia" w:ascii="仿宋" w:hAnsi="仿宋" w:eastAsia="仿宋" w:cs="仿宋"/>
          <w:b/>
          <w:bCs/>
          <w:color w:val="auto"/>
          <w:sz w:val="44"/>
          <w:szCs w:val="44"/>
          <w:highlight w:val="none"/>
          <w:lang w:eastAsia="zh-CN"/>
        </w:rPr>
      </w:pPr>
      <w:bookmarkStart w:id="88" w:name="_GoBack"/>
      <w:r>
        <w:rPr>
          <w:rFonts w:hint="eastAsia" w:ascii="仿宋" w:hAnsi="仿宋" w:eastAsia="仿宋" w:cs="仿宋"/>
          <w:b/>
          <w:bCs/>
          <w:color w:val="auto"/>
          <w:sz w:val="44"/>
          <w:szCs w:val="44"/>
          <w:highlight w:val="none"/>
          <w:lang w:eastAsia="zh-CN"/>
        </w:rPr>
        <w:t>衢州学院遴选合作银行项目</w:t>
      </w:r>
      <w:bookmarkEnd w:id="88"/>
    </w:p>
    <w:p>
      <w:pPr>
        <w:spacing w:line="360" w:lineRule="auto"/>
        <w:jc w:val="center"/>
        <w:rPr>
          <w:rFonts w:hint="eastAsia" w:ascii="仿宋" w:hAnsi="仿宋" w:eastAsia="仿宋" w:cs="仿宋"/>
          <w:b/>
          <w:bCs/>
          <w:color w:val="auto"/>
          <w:sz w:val="44"/>
          <w:szCs w:val="44"/>
          <w:highlight w:val="none"/>
        </w:rPr>
      </w:pPr>
    </w:p>
    <w:p>
      <w:pPr>
        <w:spacing w:line="360" w:lineRule="auto"/>
        <w:jc w:val="center"/>
        <w:rPr>
          <w:rFonts w:hint="eastAsia" w:ascii="仿宋" w:hAnsi="仿宋" w:eastAsia="仿宋" w:cs="仿宋"/>
          <w:b/>
          <w:bCs/>
          <w:color w:val="auto"/>
          <w:sz w:val="44"/>
          <w:szCs w:val="44"/>
          <w:highlight w:val="none"/>
        </w:rPr>
      </w:pPr>
    </w:p>
    <w:p>
      <w:pPr>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竞争性磋商文件</w:t>
      </w:r>
    </w:p>
    <w:p>
      <w:pPr>
        <w:spacing w:line="360" w:lineRule="auto"/>
        <w:ind w:firstLine="1093" w:firstLineChars="400"/>
        <w:rPr>
          <w:rFonts w:ascii="仿宋" w:hAnsi="仿宋" w:eastAsia="仿宋" w:cs="仿宋"/>
          <w:b/>
          <w:color w:val="auto"/>
          <w:w w:val="85"/>
          <w:sz w:val="32"/>
          <w:szCs w:val="32"/>
          <w:highlight w:val="none"/>
        </w:rPr>
      </w:pPr>
    </w:p>
    <w:p>
      <w:pPr>
        <w:spacing w:line="360" w:lineRule="auto"/>
        <w:ind w:firstLine="1093" w:firstLineChars="400"/>
        <w:rPr>
          <w:rFonts w:ascii="仿宋" w:hAnsi="仿宋" w:eastAsia="仿宋" w:cs="仿宋"/>
          <w:b/>
          <w:color w:val="auto"/>
          <w:w w:val="85"/>
          <w:sz w:val="32"/>
          <w:szCs w:val="32"/>
          <w:highlight w:val="none"/>
        </w:rPr>
      </w:pPr>
    </w:p>
    <w:p>
      <w:pPr>
        <w:spacing w:line="360" w:lineRule="auto"/>
        <w:ind w:firstLine="1093" w:firstLineChars="400"/>
        <w:rPr>
          <w:rFonts w:ascii="仿宋" w:hAnsi="仿宋" w:eastAsia="仿宋" w:cs="仿宋"/>
          <w:b/>
          <w:color w:val="auto"/>
          <w:w w:val="85"/>
          <w:sz w:val="32"/>
          <w:szCs w:val="32"/>
          <w:highlight w:val="none"/>
        </w:rPr>
      </w:pPr>
    </w:p>
    <w:p>
      <w:pPr>
        <w:spacing w:line="360" w:lineRule="auto"/>
        <w:ind w:firstLine="1093" w:firstLineChars="400"/>
        <w:rPr>
          <w:rFonts w:ascii="仿宋" w:hAnsi="仿宋" w:eastAsia="仿宋" w:cs="仿宋"/>
          <w:b/>
          <w:color w:val="auto"/>
          <w:w w:val="85"/>
          <w:sz w:val="32"/>
          <w:szCs w:val="32"/>
          <w:highlight w:val="none"/>
        </w:rPr>
      </w:pPr>
    </w:p>
    <w:p>
      <w:pPr>
        <w:spacing w:line="360" w:lineRule="auto"/>
        <w:ind w:firstLine="1093" w:firstLineChars="400"/>
        <w:rPr>
          <w:rFonts w:hint="eastAsia" w:ascii="仿宋" w:hAnsi="仿宋" w:eastAsia="仿宋" w:cs="仿宋"/>
          <w:b/>
          <w:color w:val="auto"/>
          <w:sz w:val="30"/>
          <w:highlight w:val="none"/>
          <w:lang w:eastAsia="zh-CN"/>
        </w:rPr>
      </w:pPr>
      <w:r>
        <w:rPr>
          <w:rFonts w:hint="eastAsia" w:ascii="仿宋" w:hAnsi="仿宋" w:eastAsia="仿宋" w:cs="仿宋"/>
          <w:b/>
          <w:color w:val="auto"/>
          <w:w w:val="85"/>
          <w:sz w:val="32"/>
          <w:szCs w:val="32"/>
          <w:highlight w:val="none"/>
        </w:rPr>
        <w:t>项目编号：</w:t>
      </w:r>
      <w:r>
        <w:rPr>
          <w:rFonts w:hint="eastAsia" w:ascii="仿宋" w:hAnsi="仿宋" w:eastAsia="仿宋" w:cs="仿宋"/>
          <w:b/>
          <w:color w:val="auto"/>
          <w:sz w:val="30"/>
          <w:highlight w:val="none"/>
          <w:lang w:eastAsia="zh-CN"/>
        </w:rPr>
        <w:t>QZYH2025112415</w:t>
      </w:r>
    </w:p>
    <w:p>
      <w:pPr>
        <w:spacing w:line="360" w:lineRule="auto"/>
        <w:ind w:firstLine="1042" w:firstLineChars="346"/>
        <w:rPr>
          <w:rFonts w:ascii="仿宋" w:hAnsi="仿宋" w:eastAsia="仿宋" w:cs="仿宋"/>
          <w:b/>
          <w:color w:val="auto"/>
          <w:sz w:val="30"/>
          <w:highlight w:val="none"/>
        </w:rPr>
      </w:pPr>
      <w:r>
        <w:rPr>
          <w:rFonts w:hint="eastAsia" w:ascii="仿宋" w:hAnsi="仿宋" w:eastAsia="仿宋" w:cs="仿宋"/>
          <w:b/>
          <w:color w:val="auto"/>
          <w:sz w:val="30"/>
          <w:highlight w:val="none"/>
        </w:rPr>
        <w:t>采购人：</w:t>
      </w:r>
      <w:r>
        <w:rPr>
          <w:rFonts w:hint="eastAsia" w:ascii="仿宋" w:hAnsi="仿宋" w:eastAsia="仿宋" w:cs="仿宋"/>
          <w:b/>
          <w:color w:val="auto"/>
          <w:sz w:val="30"/>
          <w:highlight w:val="none"/>
          <w:lang w:eastAsia="zh-CN"/>
        </w:rPr>
        <w:t>衢州学院</w:t>
      </w:r>
      <w:r>
        <w:rPr>
          <w:rFonts w:hint="eastAsia" w:ascii="仿宋" w:hAnsi="仿宋" w:eastAsia="仿宋" w:cs="仿宋"/>
          <w:b/>
          <w:color w:val="auto"/>
          <w:sz w:val="30"/>
          <w:highlight w:val="none"/>
        </w:rPr>
        <w:t>（盖章）</w:t>
      </w:r>
    </w:p>
    <w:p>
      <w:pPr>
        <w:spacing w:line="360" w:lineRule="auto"/>
        <w:ind w:firstLine="1042" w:firstLineChars="346"/>
        <w:rPr>
          <w:rFonts w:ascii="仿宋" w:hAnsi="仿宋" w:eastAsia="仿宋" w:cs="仿宋"/>
          <w:b/>
          <w:color w:val="auto"/>
          <w:sz w:val="30"/>
          <w:highlight w:val="none"/>
        </w:rPr>
      </w:pPr>
      <w:r>
        <w:rPr>
          <w:rFonts w:hint="eastAsia" w:ascii="仿宋" w:hAnsi="仿宋" w:eastAsia="仿宋" w:cs="仿宋"/>
          <w:b/>
          <w:color w:val="auto"/>
          <w:sz w:val="30"/>
          <w:highlight w:val="none"/>
        </w:rPr>
        <w:t>采购代理机构：</w:t>
      </w:r>
      <w:r>
        <w:rPr>
          <w:rFonts w:hint="eastAsia" w:ascii="仿宋" w:hAnsi="仿宋" w:eastAsia="仿宋" w:cs="仿宋"/>
          <w:b/>
          <w:color w:val="auto"/>
          <w:sz w:val="30"/>
          <w:highlight w:val="none"/>
          <w:lang w:eastAsia="zh-CN"/>
        </w:rPr>
        <w:t>耀华建设管理有限公司</w:t>
      </w:r>
      <w:r>
        <w:rPr>
          <w:rFonts w:hint="eastAsia" w:ascii="仿宋" w:hAnsi="仿宋" w:eastAsia="仿宋" w:cs="仿宋"/>
          <w:b/>
          <w:color w:val="auto"/>
          <w:sz w:val="30"/>
          <w:highlight w:val="none"/>
        </w:rPr>
        <w:t>（盖章）</w:t>
      </w:r>
    </w:p>
    <w:p>
      <w:pPr>
        <w:spacing w:line="360" w:lineRule="auto"/>
        <w:jc w:val="center"/>
        <w:rPr>
          <w:rFonts w:ascii="仿宋" w:hAnsi="仿宋" w:eastAsia="仿宋" w:cs="仿宋"/>
          <w:b/>
          <w:color w:val="auto"/>
          <w:sz w:val="30"/>
          <w:highlight w:val="none"/>
        </w:rPr>
      </w:pPr>
    </w:p>
    <w:p>
      <w:pPr>
        <w:spacing w:line="360" w:lineRule="auto"/>
        <w:jc w:val="center"/>
        <w:rPr>
          <w:rFonts w:ascii="仿宋" w:hAnsi="仿宋" w:eastAsia="仿宋" w:cs="仿宋"/>
          <w:color w:val="auto"/>
          <w:sz w:val="24"/>
          <w:highlight w:val="none"/>
        </w:rPr>
      </w:pPr>
      <w:r>
        <w:rPr>
          <w:rFonts w:hint="eastAsia" w:ascii="仿宋" w:hAnsi="仿宋" w:eastAsia="仿宋" w:cs="仿宋"/>
          <w:b/>
          <w:color w:val="auto"/>
          <w:sz w:val="30"/>
          <w:highlight w:val="none"/>
        </w:rPr>
        <w:t>二〇二五年</w:t>
      </w:r>
      <w:r>
        <w:rPr>
          <w:rFonts w:hint="eastAsia" w:ascii="仿宋" w:hAnsi="仿宋" w:eastAsia="仿宋" w:cs="仿宋"/>
          <w:b/>
          <w:color w:val="auto"/>
          <w:sz w:val="30"/>
          <w:highlight w:val="none"/>
          <w:lang w:val="en-US" w:eastAsia="zh-CN"/>
        </w:rPr>
        <w:t>十二</w:t>
      </w:r>
      <w:r>
        <w:rPr>
          <w:rFonts w:hint="eastAsia" w:ascii="仿宋" w:hAnsi="仿宋" w:eastAsia="仿宋" w:cs="仿宋"/>
          <w:b/>
          <w:color w:val="auto"/>
          <w:sz w:val="30"/>
          <w:highlight w:val="none"/>
        </w:rPr>
        <w:t>月</w:t>
      </w:r>
    </w:p>
    <w:p>
      <w:pPr>
        <w:pStyle w:val="92"/>
        <w:keepNext w:val="0"/>
        <w:keepLines w:val="0"/>
        <w:numPr>
          <w:ilvl w:val="1"/>
          <w:numId w:val="0"/>
        </w:numPr>
        <w:adjustRightInd w:val="0"/>
        <w:snapToGrid w:val="0"/>
        <w:spacing w:before="120" w:after="120"/>
        <w:outlineLvl w:val="9"/>
        <w:rPr>
          <w:rFonts w:ascii="仿宋" w:hAnsi="仿宋" w:eastAsia="仿宋" w:cs="仿宋"/>
          <w:color w:val="auto"/>
          <w:sz w:val="44"/>
          <w:szCs w:val="44"/>
          <w:highlight w:val="none"/>
        </w:rPr>
        <w:sectPr>
          <w:headerReference r:id="rId5" w:type="default"/>
          <w:headerReference r:id="rId6" w:type="even"/>
          <w:footerReference r:id="rId7" w:type="even"/>
          <w:pgSz w:w="11906" w:h="16838"/>
          <w:pgMar w:top="1440" w:right="1080" w:bottom="1440" w:left="1080" w:header="708" w:footer="708" w:gutter="0"/>
          <w:pgNumType w:start="0"/>
          <w:cols w:space="720" w:num="1"/>
          <w:docGrid w:linePitch="360" w:charSpace="0"/>
        </w:sectPr>
      </w:pPr>
    </w:p>
    <w:p>
      <w:pPr>
        <w:pStyle w:val="92"/>
        <w:keepNext w:val="0"/>
        <w:keepLines w:val="0"/>
        <w:numPr>
          <w:ilvl w:val="1"/>
          <w:numId w:val="0"/>
        </w:numPr>
        <w:adjustRightInd w:val="0"/>
        <w:snapToGrid w:val="0"/>
        <w:spacing w:before="120" w:after="120"/>
        <w:outlineLvl w:val="9"/>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目</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rPr>
        <w:t>录</w:t>
      </w:r>
    </w:p>
    <w:p>
      <w:pPr>
        <w:pStyle w:val="92"/>
        <w:keepNext w:val="0"/>
        <w:keepLines w:val="0"/>
        <w:numPr>
          <w:ilvl w:val="1"/>
          <w:numId w:val="0"/>
        </w:numPr>
        <w:spacing w:before="120" w:after="120"/>
        <w:jc w:val="both"/>
        <w:outlineLvl w:val="9"/>
        <w:rPr>
          <w:rFonts w:ascii="仿宋" w:hAnsi="仿宋" w:eastAsia="仿宋" w:cs="仿宋"/>
          <w:color w:val="auto"/>
          <w:sz w:val="32"/>
          <w:szCs w:val="32"/>
          <w:highlight w:val="none"/>
        </w:rPr>
      </w:pP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磋商公告</w:t>
      </w: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  磋商须知前附表及磋商须知</w:t>
      </w: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第三部分  采购内容及要求</w:t>
      </w: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第四部分  合同样本</w:t>
      </w: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第五部分  磋商程序及评定成交标准</w:t>
      </w:r>
    </w:p>
    <w:p>
      <w:pPr>
        <w:spacing w:line="360" w:lineRule="auto"/>
        <w:ind w:firstLine="402" w:firstLineChars="125"/>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第六部分  </w:t>
      </w:r>
      <w:r>
        <w:rPr>
          <w:rFonts w:ascii="仿宋" w:hAnsi="仿宋" w:eastAsia="仿宋" w:cs="仿宋"/>
          <w:b/>
          <w:color w:val="auto"/>
          <w:sz w:val="32"/>
          <w:szCs w:val="32"/>
          <w:highlight w:val="none"/>
        </w:rPr>
        <w:t>响应</w:t>
      </w:r>
      <w:r>
        <w:rPr>
          <w:rFonts w:hint="eastAsia" w:ascii="仿宋" w:hAnsi="仿宋" w:eastAsia="仿宋" w:cs="仿宋"/>
          <w:b/>
          <w:color w:val="auto"/>
          <w:sz w:val="32"/>
          <w:szCs w:val="32"/>
          <w:highlight w:val="none"/>
        </w:rPr>
        <w:t>文件相关格式</w:t>
      </w:r>
    </w:p>
    <w:p>
      <w:pPr>
        <w:spacing w:line="360" w:lineRule="auto"/>
        <w:ind w:firstLine="402" w:firstLineChars="125"/>
        <w:rPr>
          <w:rFonts w:ascii="仿宋" w:hAnsi="仿宋" w:eastAsia="仿宋" w:cs="仿宋"/>
          <w:b/>
          <w:color w:val="auto"/>
          <w:sz w:val="32"/>
          <w:szCs w:val="32"/>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b/>
          <w:bCs/>
          <w:color w:val="auto"/>
          <w:highlight w:val="none"/>
        </w:rPr>
      </w:pPr>
    </w:p>
    <w:p>
      <w:pPr>
        <w:spacing w:line="360" w:lineRule="auto"/>
        <w:rPr>
          <w:rFonts w:ascii="仿宋" w:hAnsi="仿宋" w:eastAsia="仿宋" w:cs="仿宋"/>
          <w:color w:val="auto"/>
          <w:sz w:val="24"/>
          <w:highlight w:val="none"/>
        </w:rPr>
      </w:pPr>
    </w:p>
    <w:p>
      <w:pPr>
        <w:spacing w:line="360" w:lineRule="auto"/>
        <w:ind w:firstLine="442" w:firstLineChars="200"/>
        <w:rPr>
          <w:rFonts w:ascii="仿宋" w:hAnsi="仿宋" w:eastAsia="仿宋" w:cs="仿宋"/>
          <w:b/>
          <w:bCs/>
          <w:color w:val="auto"/>
          <w:highlight w:val="none"/>
        </w:rPr>
      </w:pPr>
      <w:bookmarkStart w:id="0" w:name="_Toc272368140"/>
      <w:bookmarkStart w:id="1" w:name="_Toc272368141"/>
      <w:r>
        <w:rPr>
          <w:rFonts w:hint="eastAsia" w:ascii="仿宋" w:hAnsi="仿宋" w:eastAsia="仿宋" w:cs="仿宋"/>
          <w:b/>
          <w:bCs/>
          <w:color w:val="auto"/>
          <w:highlight w:val="none"/>
        </w:rPr>
        <w:t>注：磋商文件中加“▲”条款，为采购的实质性要求和条件，着重提醒各供应商注意，并认真查看磋商文件中的每一个条款及要求，因误读磋商文件而造成的后果，采购单位概不负责。</w:t>
      </w:r>
    </w:p>
    <w:p>
      <w:pPr>
        <w:pStyle w:val="3"/>
        <w:numPr>
          <w:ilvl w:val="0"/>
          <w:numId w:val="0"/>
        </w:numPr>
        <w:spacing w:before="120" w:after="120"/>
        <w:jc w:val="center"/>
        <w:rPr>
          <w:rFonts w:ascii="仿宋" w:hAnsi="仿宋" w:eastAsia="仿宋" w:cs="仿宋"/>
          <w:color w:val="auto"/>
          <w:sz w:val="36"/>
          <w:szCs w:val="36"/>
          <w:highlight w:val="none"/>
        </w:rPr>
        <w:sectPr>
          <w:footerReference r:id="rId8" w:type="default"/>
          <w:pgSz w:w="11906" w:h="16838"/>
          <w:pgMar w:top="1440" w:right="1080" w:bottom="1440" w:left="1080" w:header="708" w:footer="708" w:gutter="0"/>
          <w:pgNumType w:start="2"/>
          <w:cols w:space="720" w:num="1"/>
          <w:docGrid w:linePitch="360" w:charSpace="0"/>
        </w:sectPr>
      </w:pPr>
    </w:p>
    <w:p>
      <w:pPr>
        <w:pStyle w:val="3"/>
        <w:numPr>
          <w:ilvl w:val="0"/>
          <w:numId w:val="0"/>
        </w:numPr>
        <w:spacing w:before="120" w:after="120"/>
        <w:jc w:val="center"/>
        <w:rPr>
          <w:rFonts w:ascii="仿宋" w:hAnsi="仿宋" w:eastAsia="仿宋"/>
          <w:color w:val="auto"/>
          <w:highlight w:val="none"/>
        </w:rPr>
      </w:pPr>
      <w:r>
        <w:rPr>
          <w:rFonts w:hint="eastAsia" w:ascii="仿宋" w:hAnsi="仿宋" w:eastAsia="仿宋" w:cs="仿宋"/>
          <w:color w:val="auto"/>
          <w:sz w:val="36"/>
          <w:szCs w:val="36"/>
          <w:highlight w:val="none"/>
        </w:rPr>
        <w:t>第一部分 竞争性磋商</w:t>
      </w:r>
      <w:bookmarkEnd w:id="0"/>
      <w:r>
        <w:rPr>
          <w:rFonts w:hint="eastAsia" w:ascii="仿宋" w:hAnsi="仿宋" w:eastAsia="仿宋" w:cs="仿宋"/>
          <w:color w:val="auto"/>
          <w:sz w:val="36"/>
          <w:szCs w:val="36"/>
          <w:highlight w:val="none"/>
        </w:rPr>
        <w:t>公告</w:t>
      </w:r>
    </w:p>
    <w:p>
      <w:pPr>
        <w:spacing w:after="0" w:line="440"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参照</w:t>
      </w:r>
      <w:r>
        <w:rPr>
          <w:rFonts w:hint="eastAsia" w:ascii="仿宋" w:hAnsi="仿宋" w:eastAsia="仿宋"/>
          <w:bCs/>
          <w:color w:val="auto"/>
          <w:sz w:val="24"/>
          <w:highlight w:val="none"/>
        </w:rPr>
        <w:t>《中华人民共和国政府采购法》</w:t>
      </w:r>
      <w:r>
        <w:rPr>
          <w:rFonts w:hint="eastAsia" w:ascii="仿宋" w:hAnsi="仿宋" w:eastAsia="仿宋" w:cs="仿宋"/>
          <w:color w:val="auto"/>
          <w:sz w:val="24"/>
          <w:szCs w:val="24"/>
          <w:highlight w:val="none"/>
        </w:rPr>
        <w:t>等有关规定，</w:t>
      </w:r>
      <w:r>
        <w:rPr>
          <w:rFonts w:hint="eastAsia" w:ascii="仿宋" w:hAnsi="仿宋" w:eastAsia="仿宋" w:cs="仿宋"/>
          <w:color w:val="auto"/>
          <w:sz w:val="24"/>
          <w:szCs w:val="24"/>
          <w:highlight w:val="none"/>
          <w:lang w:eastAsia="zh-CN"/>
        </w:rPr>
        <w:t>耀华建设管理有限公司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衢州学院</w:t>
      </w:r>
      <w:r>
        <w:rPr>
          <w:rFonts w:hint="eastAsia" w:ascii="仿宋" w:hAnsi="仿宋" w:eastAsia="仿宋" w:cs="仿宋"/>
          <w:color w:val="auto"/>
          <w:sz w:val="24"/>
          <w:szCs w:val="24"/>
          <w:highlight w:val="none"/>
        </w:rPr>
        <w:t>委托，现就</w:t>
      </w:r>
      <w:r>
        <w:rPr>
          <w:rFonts w:hint="eastAsia" w:ascii="仿宋" w:hAnsi="仿宋" w:eastAsia="仿宋" w:cs="仿宋"/>
          <w:bCs/>
          <w:color w:val="auto"/>
          <w:sz w:val="24"/>
          <w:szCs w:val="24"/>
          <w:highlight w:val="none"/>
          <w:lang w:eastAsia="zh-CN"/>
        </w:rPr>
        <w:t>衢州学院遴选合作银行项目</w:t>
      </w:r>
      <w:r>
        <w:rPr>
          <w:rFonts w:hint="eastAsia" w:ascii="仿宋" w:hAnsi="仿宋" w:eastAsia="仿宋" w:cs="仿宋"/>
          <w:color w:val="auto"/>
          <w:sz w:val="24"/>
          <w:szCs w:val="24"/>
          <w:highlight w:val="none"/>
        </w:rPr>
        <w:t>进行</w:t>
      </w: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。本项目以</w:t>
      </w:r>
      <w:r>
        <w:rPr>
          <w:rFonts w:hint="eastAsia" w:ascii="仿宋" w:hAnsi="仿宋" w:eastAsia="仿宋" w:cs="仿宋"/>
          <w:b/>
          <w:color w:val="auto"/>
          <w:sz w:val="24"/>
          <w:szCs w:val="24"/>
          <w:highlight w:val="none"/>
          <w:u w:val="single"/>
        </w:rPr>
        <w:t>竞争性磋商</w:t>
      </w:r>
      <w:r>
        <w:rPr>
          <w:rFonts w:hint="eastAsia" w:ascii="仿宋" w:hAnsi="仿宋" w:eastAsia="仿宋" w:cs="仿宋"/>
          <w:color w:val="auto"/>
          <w:sz w:val="24"/>
          <w:szCs w:val="24"/>
          <w:highlight w:val="none"/>
        </w:rPr>
        <w:t>方式进行采购，欢迎合格的供应商参加。</w:t>
      </w:r>
    </w:p>
    <w:p>
      <w:pPr>
        <w:spacing w:after="0" w:line="440" w:lineRule="exact"/>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一、项目编号：</w:t>
      </w:r>
      <w:r>
        <w:rPr>
          <w:rFonts w:hint="eastAsia" w:ascii="仿宋" w:hAnsi="仿宋" w:eastAsia="仿宋" w:cs="仿宋"/>
          <w:bCs/>
          <w:color w:val="auto"/>
          <w:sz w:val="24"/>
          <w:szCs w:val="24"/>
          <w:highlight w:val="none"/>
          <w:lang w:eastAsia="zh-CN"/>
        </w:rPr>
        <w:t>QZYH2025112415</w:t>
      </w:r>
    </w:p>
    <w:p>
      <w:pPr>
        <w:spacing w:after="0" w:line="44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二、项目名称：</w:t>
      </w:r>
      <w:r>
        <w:rPr>
          <w:rFonts w:hint="eastAsia" w:ascii="仿宋" w:hAnsi="仿宋" w:eastAsia="仿宋" w:cs="仿宋"/>
          <w:bCs/>
          <w:color w:val="auto"/>
          <w:sz w:val="24"/>
          <w:szCs w:val="24"/>
          <w:highlight w:val="none"/>
          <w:lang w:eastAsia="zh-CN"/>
        </w:rPr>
        <w:t>衢州学院遴选合作银行项目</w:t>
      </w:r>
    </w:p>
    <w:p>
      <w:pPr>
        <w:spacing w:after="0"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三、采购方式：</w:t>
      </w:r>
      <w:r>
        <w:rPr>
          <w:rFonts w:hint="eastAsia" w:ascii="仿宋" w:hAnsi="仿宋" w:eastAsia="仿宋" w:cs="仿宋"/>
          <w:bCs/>
          <w:color w:val="auto"/>
          <w:sz w:val="24"/>
          <w:szCs w:val="24"/>
          <w:highlight w:val="none"/>
        </w:rPr>
        <w:t>竞争性磋商</w:t>
      </w:r>
    </w:p>
    <w:p>
      <w:pPr>
        <w:spacing w:after="0" w:line="440" w:lineRule="exact"/>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四、资金来源：</w:t>
      </w:r>
      <w:r>
        <w:rPr>
          <w:rFonts w:hint="eastAsia" w:ascii="仿宋" w:hAnsi="仿宋" w:eastAsia="仿宋" w:cs="仿宋"/>
          <w:bCs/>
          <w:color w:val="auto"/>
          <w:sz w:val="24"/>
          <w:szCs w:val="24"/>
          <w:highlight w:val="none"/>
          <w:lang w:val="en-US" w:eastAsia="zh-CN"/>
        </w:rPr>
        <w:t>/</w:t>
      </w:r>
    </w:p>
    <w:p>
      <w:pPr>
        <w:spacing w:after="0" w:line="440" w:lineRule="exact"/>
        <w:ind w:firstLine="482" w:firstLineChars="200"/>
        <w:jc w:val="both"/>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五、磋商项目概况：</w:t>
      </w:r>
    </w:p>
    <w:tbl>
      <w:tblPr>
        <w:tblStyle w:val="41"/>
        <w:tblW w:w="8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5253"/>
        <w:gridCol w:w="1696"/>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748" w:type="dxa"/>
            <w:tcBorders>
              <w:tl2br w:val="nil"/>
              <w:tr2bl w:val="nil"/>
            </w:tcBorders>
            <w:tcMar>
              <w:top w:w="0" w:type="dxa"/>
              <w:left w:w="108" w:type="dxa"/>
              <w:bottom w:w="0" w:type="dxa"/>
              <w:right w:w="108" w:type="dxa"/>
            </w:tcMar>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400" w:lineRule="exact"/>
              <w:jc w:val="center"/>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253" w:type="dxa"/>
            <w:tcBorders>
              <w:tl2br w:val="nil"/>
              <w:tr2bl w:val="nil"/>
            </w:tcBorders>
            <w:tcMar>
              <w:top w:w="0" w:type="dxa"/>
              <w:left w:w="108" w:type="dxa"/>
              <w:bottom w:w="0" w:type="dxa"/>
              <w:right w:w="108" w:type="dxa"/>
            </w:tcMar>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400" w:lineRule="exact"/>
              <w:jc w:val="center"/>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采购内容与要求</w:t>
            </w:r>
          </w:p>
        </w:tc>
        <w:tc>
          <w:tcPr>
            <w:tcW w:w="1696" w:type="dxa"/>
            <w:tcBorders>
              <w:tl2br w:val="nil"/>
              <w:tr2bl w:val="nil"/>
            </w:tcBorders>
            <w:tcMar>
              <w:top w:w="0" w:type="dxa"/>
              <w:left w:w="108" w:type="dxa"/>
              <w:bottom w:w="0" w:type="dxa"/>
              <w:right w:w="108" w:type="dxa"/>
            </w:tcMar>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4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服务期限</w:t>
            </w:r>
          </w:p>
        </w:tc>
        <w:tc>
          <w:tcPr>
            <w:tcW w:w="997" w:type="dxa"/>
            <w:tcBorders>
              <w:tl2br w:val="nil"/>
              <w:tr2bl w:val="nil"/>
            </w:tcBorders>
            <w:tcMar>
              <w:top w:w="0" w:type="dxa"/>
              <w:left w:w="108" w:type="dxa"/>
              <w:bottom w:w="0" w:type="dxa"/>
              <w:right w:w="108" w:type="dxa"/>
            </w:tcMar>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4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748" w:type="dxa"/>
            <w:tcBorders>
              <w:tl2br w:val="nil"/>
              <w:tr2bl w:val="nil"/>
            </w:tcBorders>
            <w:tcMar>
              <w:top w:w="0" w:type="dxa"/>
              <w:left w:w="108" w:type="dxa"/>
              <w:bottom w:w="0" w:type="dxa"/>
              <w:right w:w="108" w:type="dxa"/>
            </w:tcMar>
            <w:vAlign w:val="center"/>
          </w:tcPr>
          <w:p>
            <w:pPr>
              <w:snapToGrid/>
              <w:spacing w:after="0"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253" w:type="dxa"/>
            <w:tcBorders>
              <w:tl2br w:val="nil"/>
              <w:tr2bl w:val="nil"/>
            </w:tcBorders>
            <w:tcMar>
              <w:top w:w="0" w:type="dxa"/>
              <w:left w:w="108" w:type="dxa"/>
              <w:bottom w:w="0" w:type="dxa"/>
              <w:right w:w="108" w:type="dxa"/>
            </w:tcMar>
            <w:vAlign w:val="center"/>
          </w:tcPr>
          <w:p>
            <w:pPr>
              <w:tabs>
                <w:tab w:val="left" w:pos="720"/>
              </w:tabs>
              <w:snapToGrid/>
              <w:spacing w:after="0" w:line="340" w:lineRule="exact"/>
              <w:jc w:val="center"/>
              <w:rPr>
                <w:rFonts w:hint="default" w:ascii="仿宋" w:hAnsi="仿宋" w:eastAsia="仿宋" w:cs="仿宋"/>
                <w:color w:val="auto"/>
                <w:sz w:val="24"/>
                <w:szCs w:val="24"/>
                <w:highlight w:val="none"/>
                <w:lang w:val="en-US"/>
              </w:rPr>
            </w:pPr>
            <w:r>
              <w:rPr>
                <w:rFonts w:hint="default" w:ascii="仿宋" w:hAnsi="仿宋" w:eastAsia="仿宋" w:cs="仿宋"/>
                <w:bCs/>
                <w:color w:val="auto"/>
                <w:sz w:val="24"/>
                <w:szCs w:val="24"/>
                <w:highlight w:val="none"/>
                <w:lang w:val="en-US" w:eastAsia="zh-CN"/>
              </w:rPr>
              <w:t>对公结算服务</w:t>
            </w:r>
            <w:r>
              <w:rPr>
                <w:rFonts w:hint="eastAsia" w:ascii="仿宋" w:hAnsi="仿宋" w:eastAsia="仿宋" w:cs="仿宋"/>
                <w:bCs/>
                <w:color w:val="auto"/>
                <w:sz w:val="24"/>
                <w:szCs w:val="24"/>
                <w:highlight w:val="none"/>
                <w:lang w:val="en-US" w:eastAsia="zh-CN"/>
              </w:rPr>
              <w:t>、代发教职工薪酬服务、党费专户、工会专户、授信业务、大学生助学贷款服务、校园一卡通服务、银校合作人才培养等，详见第三部分采购内容及要求</w:t>
            </w:r>
          </w:p>
        </w:tc>
        <w:tc>
          <w:tcPr>
            <w:tcW w:w="1696" w:type="dxa"/>
            <w:tcBorders>
              <w:tl2br w:val="nil"/>
              <w:tr2bl w:val="nil"/>
            </w:tcBorders>
            <w:tcMar>
              <w:top w:w="0" w:type="dxa"/>
              <w:left w:w="108" w:type="dxa"/>
              <w:bottom w:w="0" w:type="dxa"/>
              <w:right w:w="108" w:type="dxa"/>
            </w:tcMar>
            <w:vAlign w:val="center"/>
          </w:tcPr>
          <w:p>
            <w:pPr>
              <w:tabs>
                <w:tab w:val="left" w:pos="720"/>
              </w:tabs>
              <w:snapToGrid/>
              <w:spacing w:after="0" w:line="3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合作期限六年</w:t>
            </w:r>
          </w:p>
        </w:tc>
        <w:tc>
          <w:tcPr>
            <w:tcW w:w="997" w:type="dxa"/>
            <w:tcBorders>
              <w:tl2br w:val="nil"/>
              <w:tr2bl w:val="nil"/>
            </w:tcBorders>
            <w:tcMar>
              <w:top w:w="0" w:type="dxa"/>
              <w:left w:w="108" w:type="dxa"/>
              <w:bottom w:w="0" w:type="dxa"/>
              <w:right w:w="108" w:type="dxa"/>
            </w:tcMar>
            <w:vAlign w:val="center"/>
          </w:tcPr>
          <w:p>
            <w:pPr>
              <w:tabs>
                <w:tab w:val="left" w:pos="720"/>
              </w:tabs>
              <w:snapToGrid/>
              <w:spacing w:after="0" w:line="340" w:lineRule="exact"/>
              <w:jc w:val="center"/>
              <w:rPr>
                <w:rFonts w:hint="eastAsia" w:ascii="仿宋" w:hAnsi="仿宋" w:eastAsia="仿宋" w:cs="仿宋"/>
                <w:color w:val="auto"/>
                <w:sz w:val="24"/>
                <w:szCs w:val="24"/>
                <w:highlight w:val="none"/>
              </w:rPr>
            </w:pPr>
          </w:p>
        </w:tc>
      </w:tr>
    </w:tbl>
    <w:p>
      <w:pPr>
        <w:spacing w:after="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六、供应商的资格要求：</w:t>
      </w:r>
    </w:p>
    <w:p>
      <w:pPr>
        <w:spacing w:after="0"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highlight w:val="none"/>
          <w:lang w:val="zh-CN" w:eastAsia="zh-CN"/>
        </w:rPr>
        <w:t>。</w:t>
      </w:r>
    </w:p>
    <w:p>
      <w:pPr>
        <w:spacing w:after="0"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.纳入衢州市国库集中支付业务授权范围的银行。</w:t>
      </w:r>
    </w:p>
    <w:p>
      <w:pPr>
        <w:spacing w:after="0"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.落实政府采购政策需满足的资格要求：</w:t>
      </w:r>
      <w:r>
        <w:rPr>
          <w:rFonts w:hint="eastAsia" w:ascii="仿宋" w:hAnsi="仿宋" w:eastAsia="仿宋" w:cs="仿宋"/>
          <w:color w:val="auto"/>
          <w:sz w:val="24"/>
          <w:szCs w:val="24"/>
          <w:highlight w:val="none"/>
          <w:lang w:val="zh-CN" w:eastAsia="zh-CN"/>
        </w:rPr>
        <w:t>无。</w:t>
      </w:r>
    </w:p>
    <w:p>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4.本项目的特定资格要求：无。</w:t>
      </w:r>
    </w:p>
    <w:p>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5.本项目不接受联合体。</w:t>
      </w:r>
    </w:p>
    <w:p>
      <w:pPr>
        <w:spacing w:after="0" w:line="360" w:lineRule="auto"/>
        <w:ind w:firstLine="480" w:firstLineChars="200"/>
        <w:rPr>
          <w:rFonts w:ascii="仿宋" w:hAnsi="仿宋" w:eastAsia="仿宋" w:cs="仿宋"/>
          <w:b w:val="0"/>
          <w:bCs w:val="0"/>
          <w:color w:val="auto"/>
          <w:szCs w:val="24"/>
          <w:highlight w:val="none"/>
          <w:lang w:eastAsia="zh-CN"/>
        </w:rPr>
      </w:pPr>
      <w:r>
        <w:rPr>
          <w:rFonts w:hint="eastAsia" w:ascii="仿宋" w:hAnsi="仿宋" w:eastAsia="仿宋" w:cs="仿宋"/>
          <w:color w:val="auto"/>
          <w:sz w:val="24"/>
          <w:szCs w:val="24"/>
          <w:highlight w:val="none"/>
          <w:lang w:val="en-US" w:eastAsia="zh-CN"/>
        </w:rPr>
        <w:t>6.单位负责人为同一人或者存在直接控股、管理关系的不同供应商，不得参加同一合同项下的政府采购活动；为采</w:t>
      </w:r>
      <w:r>
        <w:rPr>
          <w:rFonts w:hint="eastAsia" w:ascii="仿宋" w:hAnsi="仿宋" w:eastAsia="仿宋" w:cs="仿宋"/>
          <w:color w:val="auto"/>
          <w:sz w:val="24"/>
          <w:szCs w:val="24"/>
          <w:highlight w:val="none"/>
          <w:lang w:val="zh-CN"/>
        </w:rPr>
        <w:t>购项目提供整体设计、规范编制或者项目管理、监理、检测等服务后不得再参加该采购项目的其他采购活动。</w:t>
      </w:r>
    </w:p>
    <w:p>
      <w:pPr>
        <w:spacing w:after="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七、采购文件（磋商文件）获取方式</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供应商按下述要求获取采购文件，如未在“衢州市阳光交易服务平台”系统内完成相关流程，引起投标无效，责任自负。</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本项目采购文件实行“衢州市阳光交易服务平台”在线申请获取采购文件，不提供纸质版采购文件。供应商获取采购文件前应先办理“衢州市阳光交易服务平台”供应商信息入库备案同时办理介质CA锁。完成介质CA锁办理预计2～3个工作日，建议各供应商合理安排办理时间。</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rPr>
        <w:t>.潜在供应商登录衢州市阳光交易服务平台（https://qzygjy.com/）办理供应商信息入库备案事宜。</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未办理企业信息入库的供应商，根据显示界面提示免费注册，填写、上传相关主体信息，带“*”号的必填，填好后“提交”。供应商须提前申领介质CA锁及电子签章，具体操作可参考衢州市阳光交易服务平台交易乙方操作手册。</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CA办理：</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天谷CA：http://www.tseal.cn/tcloud/common.xhtml?projId=307 联系电话：400-087-8198</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新点标证通：https://www.ebpu.com/epbzt/index.html 联系电话：0512-58188591</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采购文件下载：潜在供应商登录“衢州市阳光交易服务平台”，在线申请获取采购文件（选择采购公告，进入项目，选择“交易前阶段”进入项目在获取采购文件菜单中选择项目，选择“交易文件下载”）。</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文件的解密：供应商按照平台提示和采购文件的规定在30分钟内于衢州市阳光交易服务平台不见面开标大厅完成在线解密。</w:t>
      </w:r>
    </w:p>
    <w:p>
      <w:pPr>
        <w:spacing w:after="0" w:line="360" w:lineRule="auto"/>
        <w:ind w:firstLine="480" w:firstLineChars="200"/>
        <w:rPr>
          <w:rFonts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具体操作指南：详见衢州市阳光交易服务平台“办事指南－衢州市阳光交易服务平台供应商操作手册”，</w:t>
      </w:r>
      <w:r>
        <w:rPr>
          <w:rFonts w:hint="eastAsia" w:ascii="仿宋" w:hAnsi="仿宋" w:eastAsia="仿宋" w:cs="仿宋"/>
          <w:b/>
          <w:bCs/>
          <w:color w:val="auto"/>
          <w:sz w:val="24"/>
          <w:szCs w:val="24"/>
          <w:highlight w:val="none"/>
          <w:lang w:val="zh-CN"/>
        </w:rPr>
        <w:t>衢州市阳光交易服务平台技术支持电话：0512-58188591、0570-3878007。</w:t>
      </w:r>
    </w:p>
    <w:p>
      <w:pPr>
        <w:spacing w:after="0" w:line="360" w:lineRule="auto"/>
        <w:ind w:firstLine="482" w:firstLineChars="200"/>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八</w:t>
      </w:r>
      <w:r>
        <w:rPr>
          <w:rFonts w:hint="eastAsia" w:ascii="仿宋" w:hAnsi="仿宋" w:eastAsia="仿宋" w:cs="仿宋"/>
          <w:b/>
          <w:bCs/>
          <w:color w:val="auto"/>
          <w:sz w:val="24"/>
          <w:szCs w:val="24"/>
          <w:highlight w:val="none"/>
          <w:lang w:val="zh-CN"/>
        </w:rPr>
        <w:t>、投标工具一标通投标制作工具</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下载地址：https://download.bqpoint.com/download/downloaddetail.html?SourceFrom=Ztb&amp;ZtbSoftXiaQuCode=1155&amp;ZtbSoftType=tballinclusive</w:t>
      </w:r>
    </w:p>
    <w:p>
      <w:pPr>
        <w:spacing w:after="0" w:line="360" w:lineRule="auto"/>
        <w:ind w:firstLine="482" w:firstLineChars="200"/>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新点软件客服电话：0512-58188591、0570-3878007。</w:t>
      </w:r>
    </w:p>
    <w:p>
      <w:pPr>
        <w:spacing w:after="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九、提交</w:t>
      </w:r>
      <w:r>
        <w:rPr>
          <w:rFonts w:ascii="仿宋" w:hAnsi="仿宋" w:eastAsia="仿宋" w:cs="仿宋"/>
          <w:b/>
          <w:bCs/>
          <w:color w:val="auto"/>
          <w:sz w:val="24"/>
          <w:szCs w:val="24"/>
          <w:highlight w:val="none"/>
        </w:rPr>
        <w:t>响应</w:t>
      </w:r>
      <w:r>
        <w:rPr>
          <w:rFonts w:hint="eastAsia" w:ascii="仿宋" w:hAnsi="仿宋" w:eastAsia="仿宋" w:cs="仿宋"/>
          <w:b/>
          <w:bCs/>
          <w:color w:val="auto"/>
          <w:sz w:val="24"/>
          <w:szCs w:val="24"/>
          <w:highlight w:val="none"/>
        </w:rPr>
        <w:t>文件截止时间、开标时间和地点</w:t>
      </w:r>
    </w:p>
    <w:p>
      <w:pPr>
        <w:pStyle w:val="67"/>
        <w:adjustRightInd w:val="0"/>
        <w:snapToGrid w:val="0"/>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文件递交截止时间（开标时间，下同）：2025年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分00秒。</w:t>
      </w:r>
    </w:p>
    <w:p>
      <w:pPr>
        <w:pStyle w:val="67"/>
        <w:widowControl/>
        <w:adjustRightInd w:val="0"/>
        <w:snapToGrid w:val="0"/>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文件递交方式：电子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文件采用网上递交的方式，上传至衢州市阳光交易服务平台（https://qzygjy.com/TPBidder/memberLogin?type=13）。</w:t>
      </w:r>
    </w:p>
    <w:p>
      <w:pPr>
        <w:pStyle w:val="67"/>
        <w:adjustRightInd w:val="0"/>
        <w:snapToGrid w:val="0"/>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3.网上开标地点：衢州市阳光交易服务平台不见面开标大厅（网址：https://qzygjy.com/BidOpening/bidopeninghallaction/hall/login）。操作手册见官网首页下载中心。</w:t>
      </w:r>
    </w:p>
    <w:p>
      <w:pPr>
        <w:spacing w:after="0" w:line="360" w:lineRule="auto"/>
        <w:ind w:firstLine="482" w:firstLineChars="200"/>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zh-CN"/>
        </w:rPr>
        <w:t>、解密</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文件开启时间到后，代理机构（或公证人员）宣布开始解密，30分钟内供应商应完成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的解密。供应商解密方式：供应商自行登录衢州市阳光交易服务平台不见面开标大厅（https://qzygjy.com/BidOpening/bidopeninghallaction/hall/login）——供应商身份——我的项目——选择标段——待采购代理开启解密后进行解密操作供应商在规定的时间内都已完成解密，则系统自动结束解密；供应商因自身原因未在规定时间内完成解密，则默认自动放弃；</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代理机构导入</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文件成功后进入</w:t>
      </w:r>
      <w:r>
        <w:rPr>
          <w:rFonts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val="zh-CN"/>
        </w:rPr>
        <w:t>流程。</w:t>
      </w:r>
    </w:p>
    <w:p>
      <w:pPr>
        <w:spacing w:after="0" w:line="360" w:lineRule="auto"/>
        <w:ind w:firstLine="482" w:firstLineChars="200"/>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十一</w:t>
      </w:r>
      <w:r>
        <w:rPr>
          <w:rFonts w:hint="eastAsia" w:ascii="仿宋" w:hAnsi="仿宋" w:eastAsia="仿宋" w:cs="仿宋"/>
          <w:b/>
          <w:bCs/>
          <w:color w:val="auto"/>
          <w:sz w:val="24"/>
          <w:szCs w:val="24"/>
          <w:highlight w:val="none"/>
          <w:lang w:val="zh-CN"/>
        </w:rPr>
        <w:t>、开标特别说明</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开标解密使用供应商上传的电子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 xml:space="preserve">文件。 </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因供应商原因（包括供应商自主选择的CA证书、电脑环境、网络等），造成其电子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文件未解密的，或</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文件解密了，但</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文件无法识别、读取的，视为撤销其</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w:t>
      </w:r>
    </w:p>
    <w:p>
      <w:pPr>
        <w:spacing w:after="0"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供应商必须使用生成电子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文件的CA数字证书解密电子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w:t>
      </w:r>
    </w:p>
    <w:p>
      <w:pPr>
        <w:spacing w:after="0" w:line="360" w:lineRule="auto"/>
        <w:ind w:firstLine="482" w:firstLineChars="200"/>
        <w:rPr>
          <w:rFonts w:ascii="仿宋" w:hAnsi="仿宋" w:eastAsia="仿宋" w:cs="仿宋"/>
          <w:b/>
          <w:bCs/>
          <w:color w:val="auto"/>
          <w:sz w:val="24"/>
          <w:szCs w:val="24"/>
          <w:highlight w:val="none"/>
          <w:lang w:val="zh-CN"/>
        </w:rPr>
      </w:pPr>
      <w:bookmarkStart w:id="2" w:name="_Toc2707"/>
      <w:r>
        <w:rPr>
          <w:rFonts w:hint="eastAsia" w:ascii="仿宋" w:hAnsi="仿宋" w:eastAsia="仿宋" w:cs="仿宋"/>
          <w:b/>
          <w:bCs/>
          <w:color w:val="auto"/>
          <w:sz w:val="24"/>
          <w:szCs w:val="24"/>
          <w:highlight w:val="none"/>
        </w:rPr>
        <w:t>十二</w:t>
      </w:r>
      <w:r>
        <w:rPr>
          <w:rFonts w:hint="eastAsia" w:ascii="仿宋" w:hAnsi="仿宋" w:eastAsia="仿宋" w:cs="仿宋"/>
          <w:b/>
          <w:bCs/>
          <w:color w:val="auto"/>
          <w:sz w:val="24"/>
          <w:szCs w:val="24"/>
          <w:highlight w:val="none"/>
          <w:lang w:val="zh-CN"/>
        </w:rPr>
        <w:t>、公告期限</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自本公告发布之日起5日。</w:t>
      </w:r>
    </w:p>
    <w:p>
      <w:pPr>
        <w:spacing w:after="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十三、其他补充事宜</w:t>
      </w:r>
      <w:bookmarkEnd w:id="2"/>
    </w:p>
    <w:p>
      <w:pPr>
        <w:spacing w:after="0"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供应商认为磋商文件使自己的权益受到损害的，可以自获取磋商文件之日或者磋商文件公告期限届满之日（公告期限届满后获取磋商文件的，以公告期限届满之日为准）起7个工作日内，向采购人和采购代理机构提出质疑。提交方式：登录衢州市阳光交易服务平台（https://qzygjy.com/bszn/sec.html）－发包公告－进入项目－异议－新增异议。质疑供应商对采购人、采购代理机构的答复不满意或者采购人、采购代理机构未在规定的时间内作出答复的，可以在答复期满后十五个工作日内向采购人监督管理部门投诉。</w:t>
      </w:r>
    </w:p>
    <w:p>
      <w:pPr>
        <w:spacing w:after="0" w:line="360" w:lineRule="auto"/>
        <w:ind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十四、</w:t>
      </w:r>
      <w:r>
        <w:rPr>
          <w:rFonts w:hint="eastAsia" w:ascii="仿宋" w:hAnsi="仿宋" w:eastAsia="仿宋" w:cs="仿宋"/>
          <w:b/>
          <w:color w:val="auto"/>
          <w:sz w:val="24"/>
          <w:szCs w:val="24"/>
          <w:highlight w:val="none"/>
          <w:lang w:val="en-US" w:eastAsia="zh-CN"/>
        </w:rPr>
        <w:t>联系方式</w:t>
      </w:r>
    </w:p>
    <w:p>
      <w:pPr>
        <w:spacing w:after="0" w:line="360" w:lineRule="auto"/>
        <w:ind w:firstLine="480" w:firstLineChars="200"/>
        <w:rPr>
          <w:rFonts w:hint="eastAsia" w:ascii="仿宋" w:hAnsi="仿宋" w:eastAsia="仿宋" w:cs="仿宋"/>
          <w:color w:val="auto"/>
          <w:sz w:val="24"/>
          <w:szCs w:val="24"/>
          <w:highlight w:val="none"/>
          <w:lang w:eastAsia="zh-CN"/>
        </w:rPr>
      </w:pPr>
      <w:bookmarkStart w:id="3" w:name="OLE_LINK1"/>
      <w:r>
        <w:rPr>
          <w:rFonts w:hint="eastAsia" w:ascii="仿宋" w:hAnsi="仿宋" w:eastAsia="仿宋" w:cs="仿宋"/>
          <w:color w:val="auto"/>
          <w:sz w:val="24"/>
          <w:szCs w:val="24"/>
          <w:highlight w:val="none"/>
        </w:rPr>
        <w:t>1.采购人名称：</w:t>
      </w:r>
      <w:r>
        <w:rPr>
          <w:rFonts w:hint="eastAsia" w:ascii="仿宋" w:hAnsi="仿宋" w:eastAsia="仿宋" w:cs="仿宋"/>
          <w:color w:val="auto"/>
          <w:sz w:val="24"/>
          <w:szCs w:val="24"/>
          <w:highlight w:val="none"/>
          <w:lang w:eastAsia="zh-CN"/>
        </w:rPr>
        <w:t>衢州学院</w:t>
      </w:r>
    </w:p>
    <w:bookmarkEnd w:id="3"/>
    <w:p>
      <w:pPr>
        <w:spacing w:after="0" w:line="360" w:lineRule="auto"/>
        <w:ind w:firstLine="480"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color w:val="auto"/>
          <w:sz w:val="24"/>
          <w:szCs w:val="24"/>
          <w:highlight w:val="none"/>
        </w:rPr>
        <w:t>项目采购</w:t>
      </w:r>
      <w:r>
        <w:rPr>
          <w:rFonts w:hint="eastAsia" w:ascii="仿宋" w:hAnsi="仿宋" w:eastAsia="仿宋" w:cs="仿宋"/>
          <w:bCs w:val="0"/>
          <w:color w:val="auto"/>
          <w:sz w:val="24"/>
          <w:szCs w:val="24"/>
          <w:highlight w:val="none"/>
        </w:rPr>
        <w:t>联系人</w:t>
      </w:r>
      <w:r>
        <w:rPr>
          <w:rFonts w:hint="eastAsia" w:ascii="仿宋" w:hAnsi="仿宋" w:eastAsia="仿宋" w:cs="仿宋"/>
          <w:bCs w:val="0"/>
          <w:color w:val="auto"/>
          <w:sz w:val="24"/>
          <w:szCs w:val="24"/>
          <w:highlight w:val="none"/>
          <w:lang w:eastAsia="zh-CN"/>
        </w:rPr>
        <w:t>：</w:t>
      </w:r>
      <w:r>
        <w:rPr>
          <w:rFonts w:hint="eastAsia" w:ascii="仿宋" w:hAnsi="仿宋" w:eastAsia="仿宋" w:cs="仿宋"/>
          <w:bCs w:val="0"/>
          <w:color w:val="auto"/>
          <w:sz w:val="24"/>
          <w:szCs w:val="24"/>
          <w:highlight w:val="none"/>
          <w:lang w:val="en-US" w:eastAsia="zh-CN"/>
        </w:rPr>
        <w:t>徐</w:t>
      </w:r>
      <w:r>
        <w:rPr>
          <w:rFonts w:hint="eastAsia" w:ascii="仿宋" w:hAnsi="仿宋" w:eastAsia="仿宋" w:cs="仿宋"/>
          <w:bCs w:val="0"/>
          <w:color w:val="auto"/>
          <w:sz w:val="24"/>
          <w:szCs w:val="24"/>
          <w:highlight w:val="none"/>
        </w:rPr>
        <w:t>老师，联系电话：</w:t>
      </w:r>
      <w:r>
        <w:rPr>
          <w:rFonts w:hint="eastAsia" w:ascii="仿宋" w:hAnsi="仿宋" w:eastAsia="仿宋" w:cs="仿宋"/>
          <w:bCs w:val="0"/>
          <w:color w:val="auto"/>
          <w:sz w:val="24"/>
          <w:szCs w:val="24"/>
          <w:highlight w:val="none"/>
          <w:lang w:val="en-US" w:eastAsia="zh-CN"/>
        </w:rPr>
        <w:t>0570-8020420</w:t>
      </w:r>
    </w:p>
    <w:p>
      <w:pPr>
        <w:spacing w:line="360" w:lineRule="auto"/>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地址：浙江省衢州市九华北大道78号</w:t>
      </w:r>
    </w:p>
    <w:p>
      <w:pPr>
        <w:spacing w:after="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2.采购代理机构名称：</w:t>
      </w:r>
      <w:r>
        <w:rPr>
          <w:rFonts w:hint="eastAsia" w:ascii="仿宋" w:hAnsi="仿宋" w:eastAsia="仿宋" w:cs="仿宋"/>
          <w:color w:val="auto"/>
          <w:sz w:val="24"/>
          <w:szCs w:val="24"/>
          <w:highlight w:val="none"/>
          <w:lang w:eastAsia="zh-CN"/>
        </w:rPr>
        <w:t>耀华建设管理有限公司</w:t>
      </w:r>
    </w:p>
    <w:p>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叶女士</w:t>
      </w:r>
      <w:r>
        <w:rPr>
          <w:rFonts w:hint="eastAsia" w:ascii="仿宋" w:hAnsi="仿宋" w:eastAsia="仿宋" w:cs="仿宋"/>
          <w:color w:val="auto"/>
          <w:sz w:val="24"/>
          <w:szCs w:val="24"/>
          <w:highlight w:val="none"/>
        </w:rPr>
        <w:t>，联系电话：0570-</w:t>
      </w:r>
      <w:r>
        <w:rPr>
          <w:rFonts w:hint="eastAsia" w:ascii="仿宋" w:hAnsi="仿宋" w:eastAsia="仿宋" w:cs="仿宋"/>
          <w:color w:val="auto"/>
          <w:sz w:val="24"/>
          <w:szCs w:val="24"/>
          <w:highlight w:val="none"/>
          <w:lang w:val="en-US" w:eastAsia="zh-CN"/>
        </w:rPr>
        <w:t>3820636</w:t>
      </w:r>
    </w:p>
    <w:p>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李女士 ，联系电话：</w:t>
      </w:r>
      <w:r>
        <w:rPr>
          <w:rFonts w:hint="eastAsia" w:ascii="仿宋" w:hAnsi="仿宋" w:eastAsia="仿宋" w:cs="仿宋"/>
          <w:color w:val="auto"/>
          <w:sz w:val="24"/>
          <w:szCs w:val="24"/>
          <w:highlight w:val="none"/>
          <w:lang w:eastAsia="zh-CN"/>
        </w:rPr>
        <w:t>0570-3087872</w:t>
      </w:r>
    </w:p>
    <w:p>
      <w:pPr>
        <w:spacing w:after="0"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地点：衢州市</w:t>
      </w:r>
      <w:r>
        <w:rPr>
          <w:rFonts w:hint="eastAsia" w:ascii="仿宋" w:hAnsi="仿宋" w:eastAsia="仿宋" w:cs="仿宋"/>
          <w:color w:val="auto"/>
          <w:sz w:val="24"/>
          <w:szCs w:val="24"/>
          <w:highlight w:val="none"/>
          <w:lang w:val="en-US" w:eastAsia="zh-CN"/>
        </w:rPr>
        <w:t>白沙路29号耀华管理</w:t>
      </w:r>
    </w:p>
    <w:p>
      <w:pPr>
        <w:spacing w:after="0" w:line="360" w:lineRule="auto"/>
        <w:ind w:firstLine="480" w:firstLineChars="200"/>
        <w:rPr>
          <w:rFonts w:hint="eastAsia" w:ascii="仿宋" w:hAnsi="仿宋" w:eastAsia="仿宋" w:cs="仿宋"/>
          <w:color w:val="auto"/>
          <w:sz w:val="24"/>
          <w:szCs w:val="24"/>
          <w:highlight w:val="none"/>
        </w:rPr>
      </w:pPr>
    </w:p>
    <w:p>
      <w:pPr>
        <w:spacing w:after="0"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监督部门名称：</w:t>
      </w:r>
      <w:r>
        <w:rPr>
          <w:rFonts w:hint="eastAsia" w:ascii="仿宋" w:hAnsi="仿宋" w:eastAsia="仿宋" w:cs="仿宋"/>
          <w:color w:val="auto"/>
          <w:sz w:val="24"/>
          <w:szCs w:val="24"/>
          <w:highlight w:val="none"/>
        </w:rPr>
        <w:t>衢州学院</w:t>
      </w:r>
      <w:r>
        <w:rPr>
          <w:rFonts w:hint="eastAsia" w:ascii="仿宋" w:hAnsi="仿宋" w:eastAsia="仿宋" w:cs="仿宋"/>
          <w:color w:val="auto"/>
          <w:sz w:val="24"/>
          <w:szCs w:val="24"/>
          <w:highlight w:val="none"/>
          <w:lang w:val="en-US" w:eastAsia="zh-CN"/>
        </w:rPr>
        <w:t>纪检监察室</w:t>
      </w:r>
    </w:p>
    <w:p>
      <w:pPr>
        <w:spacing w:after="0"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联系人：吴</w:t>
      </w:r>
      <w:r>
        <w:rPr>
          <w:rFonts w:hint="eastAsia" w:ascii="仿宋" w:hAnsi="仿宋" w:eastAsia="仿宋" w:cs="仿宋"/>
          <w:color w:val="auto"/>
          <w:sz w:val="24"/>
          <w:szCs w:val="24"/>
          <w:highlight w:val="none"/>
          <w:lang w:val="zh-CN" w:eastAsia="zh-CN"/>
        </w:rPr>
        <w:t>老师</w:t>
      </w:r>
      <w:r>
        <w:rPr>
          <w:rFonts w:hint="eastAsia" w:ascii="仿宋" w:hAnsi="仿宋" w:eastAsia="仿宋" w:cs="仿宋"/>
          <w:color w:val="auto"/>
          <w:sz w:val="24"/>
          <w:szCs w:val="24"/>
          <w:highlight w:val="none"/>
          <w:lang w:val="en-US" w:eastAsia="zh-CN"/>
        </w:rPr>
        <w:t>，监督投诉电话：0570-8028406</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kern w:val="2"/>
          <w:sz w:val="24"/>
          <w:szCs w:val="20"/>
          <w:highlight w:val="none"/>
          <w:lang w:val="en-US" w:eastAsia="zh-CN" w:bidi="ar-SA"/>
        </w:rPr>
      </w:pPr>
    </w:p>
    <w:p>
      <w:pPr>
        <w:spacing w:after="0" w:line="360" w:lineRule="auto"/>
        <w:rPr>
          <w:rFonts w:ascii="仿宋" w:hAnsi="仿宋" w:eastAsia="仿宋" w:cs="仿宋"/>
          <w:color w:val="auto"/>
          <w:sz w:val="24"/>
          <w:szCs w:val="24"/>
          <w:highlight w:val="none"/>
        </w:rPr>
      </w:pPr>
    </w:p>
    <w:p>
      <w:pPr>
        <w:spacing w:after="0" w:line="360" w:lineRule="auto"/>
        <w:rPr>
          <w:rFonts w:ascii="仿宋" w:hAnsi="仿宋" w:eastAsia="仿宋" w:cs="仿宋"/>
          <w:color w:val="auto"/>
          <w:sz w:val="24"/>
          <w:szCs w:val="24"/>
          <w:highlight w:val="none"/>
        </w:rPr>
      </w:pPr>
    </w:p>
    <w:p>
      <w:pPr>
        <w:tabs>
          <w:tab w:val="left" w:pos="6006"/>
          <w:tab w:val="right" w:pos="8434"/>
        </w:tabs>
        <w:spacing w:after="0" w:line="440" w:lineRule="exact"/>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衢州学院</w:t>
      </w:r>
    </w:p>
    <w:p>
      <w:pPr>
        <w:spacing w:after="0" w:line="440" w:lineRule="exact"/>
        <w:jc w:val="right"/>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耀华建设管理有限公司</w:t>
      </w:r>
    </w:p>
    <w:p>
      <w:pPr>
        <w:spacing w:after="0" w:line="440" w:lineRule="exact"/>
        <w:ind w:firstLine="6000" w:firstLineChars="2500"/>
        <w:jc w:val="righ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2025年</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日</w:t>
      </w:r>
    </w:p>
    <w:p>
      <w:pPr>
        <w:pStyle w:val="3"/>
        <w:pageBreakBefore/>
        <w:numPr>
          <w:ilvl w:val="0"/>
          <w:numId w:val="0"/>
        </w:numPr>
        <w:spacing w:beforeLines="0" w:after="12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第二部分</w:t>
      </w:r>
      <w:bookmarkEnd w:id="1"/>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磋商须知前附表及磋商须知</w:t>
      </w:r>
    </w:p>
    <w:p>
      <w:pPr>
        <w:pStyle w:val="4"/>
        <w:numPr>
          <w:ilvl w:val="1"/>
          <w:numId w:val="0"/>
        </w:numPr>
        <w:spacing w:before="120" w:after="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一、磋商须知前附表</w:t>
      </w:r>
    </w:p>
    <w:tbl>
      <w:tblPr>
        <w:tblStyle w:val="4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80"/>
        <w:gridCol w:w="6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2"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6594"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594" w:type="dxa"/>
            <w:vAlign w:val="center"/>
          </w:tcPr>
          <w:p>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594" w:type="dxa"/>
            <w:vAlign w:val="center"/>
          </w:tcPr>
          <w:p>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衢州学院遴选合作银行项目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项目实施地点</w:t>
            </w:r>
          </w:p>
        </w:tc>
        <w:tc>
          <w:tcPr>
            <w:tcW w:w="6594"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投资额</w:t>
            </w:r>
          </w:p>
        </w:tc>
        <w:tc>
          <w:tcPr>
            <w:tcW w:w="6594" w:type="dxa"/>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highlight w:val="none"/>
              </w:rPr>
              <w:t>为学校信息化及校园文化建设</w:t>
            </w:r>
            <w:r>
              <w:rPr>
                <w:rFonts w:hint="eastAsia" w:ascii="仿宋" w:hAnsi="仿宋" w:eastAsia="仿宋" w:cs="仿宋"/>
                <w:b/>
                <w:bCs w:val="0"/>
                <w:color w:val="auto"/>
                <w:sz w:val="24"/>
                <w:highlight w:val="none"/>
                <w:lang w:val="en-US" w:eastAsia="zh-CN"/>
              </w:rPr>
              <w:t>投资</w:t>
            </w:r>
            <w:r>
              <w:rPr>
                <w:rFonts w:hint="eastAsia" w:ascii="仿宋" w:hAnsi="仿宋" w:eastAsia="仿宋" w:cs="仿宋"/>
                <w:b/>
                <w:bCs w:val="0"/>
                <w:color w:val="auto"/>
                <w:sz w:val="24"/>
                <w:highlight w:val="none"/>
              </w:rPr>
              <w:t>不少于</w:t>
            </w:r>
            <w:r>
              <w:rPr>
                <w:rFonts w:hint="eastAsia" w:ascii="仿宋" w:hAnsi="仿宋" w:eastAsia="仿宋" w:cs="仿宋"/>
                <w:b/>
                <w:bCs w:val="0"/>
                <w:color w:val="auto"/>
                <w:sz w:val="24"/>
                <w:highlight w:val="none"/>
                <w:lang w:val="en-US" w:eastAsia="zh-CN"/>
              </w:rPr>
              <w:t>800</w:t>
            </w:r>
            <w:r>
              <w:rPr>
                <w:rFonts w:hint="eastAsia" w:ascii="仿宋" w:hAnsi="仿宋" w:eastAsia="仿宋" w:cs="仿宋"/>
                <w:b/>
                <w:bCs w:val="0"/>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c>
          <w:tcPr>
            <w:tcW w:w="6594" w:type="dxa"/>
            <w:vAlign w:val="center"/>
          </w:tcPr>
          <w:p>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合作期限六年。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p>
        </w:tc>
        <w:tc>
          <w:tcPr>
            <w:tcW w:w="6594"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采购人不组织统一踏勘，供应商可自行踏勘。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报名地点</w:t>
            </w:r>
          </w:p>
        </w:tc>
        <w:tc>
          <w:tcPr>
            <w:tcW w:w="6594"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衢州市阳光交易服务平台（https://qzygjy.com/）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响应文件递交截止时间、地点</w:t>
            </w:r>
          </w:p>
        </w:tc>
        <w:tc>
          <w:tcPr>
            <w:tcW w:w="6594" w:type="dxa"/>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2025年12月23日14时00分00秒（北京时间）</w:t>
            </w:r>
          </w:p>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将由响应文件制作工具制作生成的加密响应文件在响应截止时间前（以上传完成时间为准）上传至衢州市阳光交易服务平台（网址：https://qzygjy.com/）。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8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6594"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及平台</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开标平台：衢州市阳光交易服务平台不见面开标大厅（https://qzygjy.com/BidOpening/bidopeninghallaction/hall/login）。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样品</w:t>
            </w:r>
          </w:p>
        </w:tc>
        <w:tc>
          <w:tcPr>
            <w:tcW w:w="6594" w:type="dxa"/>
            <w:vAlign w:val="center"/>
          </w:tcPr>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1.本项目是否需要样品：☑否；□是，详见“第三部分 采购内容及要求”；</w:t>
            </w:r>
          </w:p>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2.样品标识：□明标，□暗标；</w:t>
            </w:r>
          </w:p>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3.样品送至地点：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4.样品递交截止时间：同开标时间；</w:t>
            </w:r>
          </w:p>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5.成交供应商样品处理：□退还，□封存至验收，□抵扣采购数量；</w:t>
            </w:r>
          </w:p>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6.其他要求：</w:t>
            </w:r>
            <w:r>
              <w:rPr>
                <w:rFonts w:ascii="仿宋" w:hAnsi="仿宋" w:eastAsia="仿宋" w:cs="仿宋"/>
                <w:color w:val="auto"/>
                <w:sz w:val="24"/>
                <w:szCs w:val="24"/>
                <w:highlight w:val="none"/>
              </w:rPr>
              <w:t>评审</w:t>
            </w:r>
            <w:r>
              <w:rPr>
                <w:rFonts w:hint="eastAsia" w:ascii="仿宋" w:hAnsi="仿宋" w:eastAsia="仿宋" w:cs="仿宋"/>
                <w:color w:val="auto"/>
                <w:sz w:val="24"/>
                <w:szCs w:val="24"/>
                <w:highlight w:val="none"/>
              </w:rPr>
              <w:t>结束后1个工作日内，未成交的供应商将其样品取回，逾期未取回的样品由采购人自行处理；成交供应商样品封存，作验收依据。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980"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SA"/>
              </w:rPr>
              <w:t>现场演示</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
                <w:bCs/>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w:t>
            </w:r>
          </w:p>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资格要求</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文件份数</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“电子加密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文件”（后缀格式为：.QZCGTF）在线上传递交一份。</w:t>
            </w:r>
          </w:p>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成交后，成交供应商按采购人要求的份数另行免费提供纸质版全套</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文件的组成和编制</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完整的《</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文件》由“资格审查文件”“技术商务文件”和“报价文件”三个部分组成。供应商应在衢州市阳光交易服务平台编制并加密</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文件的签章</w:t>
            </w:r>
          </w:p>
        </w:tc>
        <w:tc>
          <w:tcPr>
            <w:tcW w:w="6594" w:type="dxa"/>
            <w:vAlign w:val="center"/>
          </w:tcPr>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文件的形式</w:t>
            </w:r>
          </w:p>
        </w:tc>
        <w:tc>
          <w:tcPr>
            <w:tcW w:w="6594" w:type="dxa"/>
            <w:vAlign w:val="center"/>
          </w:tcPr>
          <w:p>
            <w:pPr>
              <w:spacing w:after="0" w:line="360" w:lineRule="auto"/>
              <w:ind w:firstLine="480" w:firstLineChars="200"/>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即本文件所述“电子加密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文件”，在“</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文件制作软件（</w:t>
            </w:r>
            <w:r>
              <w:rPr>
                <w:rFonts w:hint="eastAsia" w:ascii="仿宋" w:hAnsi="仿宋" w:eastAsia="仿宋" w:cs="仿宋"/>
                <w:bCs/>
                <w:color w:val="auto"/>
                <w:sz w:val="24"/>
                <w:szCs w:val="24"/>
                <w:highlight w:val="none"/>
                <w:lang w:eastAsia="zh-CN"/>
              </w:rPr>
              <w:t>一标通</w:t>
            </w:r>
            <w:r>
              <w:rPr>
                <w:rFonts w:hint="eastAsia" w:ascii="仿宋" w:hAnsi="仿宋" w:eastAsia="仿宋" w:cs="仿宋"/>
                <w:bCs/>
                <w:color w:val="auto"/>
                <w:sz w:val="24"/>
                <w:szCs w:val="24"/>
                <w:highlight w:val="none"/>
              </w:rPr>
              <w:t>）”</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编制完成后同时生成）；“电子加密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文件”是指通过“</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文件制作软件（</w:t>
            </w:r>
            <w:r>
              <w:rPr>
                <w:rFonts w:hint="eastAsia" w:ascii="仿宋" w:hAnsi="仿宋" w:eastAsia="仿宋" w:cs="仿宋"/>
                <w:bCs/>
                <w:color w:val="auto"/>
                <w:sz w:val="24"/>
                <w:szCs w:val="24"/>
                <w:highlight w:val="none"/>
                <w:lang w:eastAsia="zh-CN"/>
              </w:rPr>
              <w:t>一标通</w:t>
            </w:r>
            <w:r>
              <w:rPr>
                <w:rFonts w:hint="eastAsia" w:ascii="仿宋" w:hAnsi="仿宋" w:eastAsia="仿宋" w:cs="仿宋"/>
                <w:bCs/>
                <w:color w:val="auto"/>
                <w:sz w:val="24"/>
                <w:szCs w:val="24"/>
                <w:highlight w:val="none"/>
              </w:rPr>
              <w:t>）”完成</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编制后生成并加密的数据电文形式的</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文件的上传和递交</w:t>
            </w:r>
          </w:p>
        </w:tc>
        <w:tc>
          <w:tcPr>
            <w:tcW w:w="6594" w:type="dxa"/>
            <w:vAlign w:val="center"/>
          </w:tcPr>
          <w:p>
            <w:pPr>
              <w:spacing w:after="0" w:line="360" w:lineRule="auto"/>
              <w:ind w:firstLine="480" w:firstLineChars="200"/>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电子加密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制作完成并生成加密标书，在提交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截止时间前，供应商需将加密的</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文件上传至衢州市阳光交易服务平台，到达开标时间后，在线解密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p>
            <w:pPr>
              <w:spacing w:after="0" w:line="360" w:lineRule="auto"/>
              <w:ind w:firstLine="480" w:firstLineChars="200"/>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供应商应在</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截止时间前将“电子加密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文件”成功上传递交至衢州市阳光交易服务平台，否则响应无效。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文件开启程序</w:t>
            </w:r>
          </w:p>
        </w:tc>
        <w:tc>
          <w:tcPr>
            <w:tcW w:w="6594" w:type="dxa"/>
            <w:vAlign w:val="center"/>
          </w:tcPr>
          <w:p>
            <w:pPr>
              <w:spacing w:after="0" w:line="360" w:lineRule="auto"/>
              <w:ind w:firstLine="480" w:firstLineChars="200"/>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开启时间到后，采购代理机构（或公证人员）宣布开始解密，30分钟内供应商应完成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文件的解密。供应商解密方式：供应商自行登录衢州市阳光交易服务平台不见面开标大厅</w:t>
            </w:r>
          </w:p>
          <w:p>
            <w:pPr>
              <w:spacing w:after="0" w:line="360" w:lineRule="auto"/>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https://qzygjy.com/BidOpening/bidopeninghallaction/hall/login)——供应商身份——我的项目——选择标段——待采购代理开启解密后进行解密操作供应商在规定的时间内都已完成解密，则系统自动结束解密；供应商因自身原因未在规定时间内完成解密，则默认自动放弃；</w:t>
            </w:r>
          </w:p>
          <w:p>
            <w:pPr>
              <w:spacing w:after="0" w:line="360" w:lineRule="auto"/>
              <w:ind w:firstLine="480" w:firstLineChars="200"/>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采购代理机构导入</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w:t>
            </w:r>
            <w:r>
              <w:rPr>
                <w:rFonts w:hint="eastAsia" w:ascii="仿宋" w:hAnsi="仿宋" w:eastAsia="仿宋" w:cs="仿宋"/>
                <w:bCs/>
                <w:color w:val="auto"/>
                <w:sz w:val="24"/>
                <w:szCs w:val="24"/>
                <w:highlight w:val="none"/>
              </w:rPr>
              <w:t>成功后进入</w:t>
            </w:r>
            <w:r>
              <w:rPr>
                <w:rFonts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1980" w:type="dxa"/>
            <w:vAlign w:val="center"/>
          </w:tcPr>
          <w:p>
            <w:pPr>
              <w:pStyle w:val="24"/>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6594" w:type="dxa"/>
            <w:vAlign w:val="center"/>
          </w:tcPr>
          <w:p>
            <w:pPr>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发出</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lang w:val="en-US" w:eastAsia="zh-CN"/>
              </w:rPr>
              <w:t>后</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980" w:type="dxa"/>
            <w:vAlign w:val="center"/>
          </w:tcPr>
          <w:p>
            <w:pPr>
              <w:autoSpaceDE w:val="0"/>
              <w:autoSpaceDN w:val="0"/>
              <w:spacing w:after="0" w:line="360" w:lineRule="auto"/>
              <w:jc w:val="center"/>
              <w:rPr>
                <w:rFonts w:ascii="仿宋" w:hAnsi="仿宋" w:eastAsia="仿宋" w:cs="仿宋"/>
                <w:color w:val="auto"/>
                <w:sz w:val="24"/>
                <w:szCs w:val="24"/>
                <w:highlight w:val="none"/>
              </w:rPr>
            </w:pPr>
            <w:r>
              <w:rPr>
                <w:rFonts w:ascii="仿宋" w:hAnsi="仿宋" w:eastAsia="仿宋" w:cs="仿宋"/>
                <w:bCs/>
                <w:color w:val="auto"/>
                <w:sz w:val="24"/>
                <w:szCs w:val="24"/>
                <w:highlight w:val="none"/>
              </w:rPr>
              <w:t>投标有效期</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980" w:type="dxa"/>
            <w:vAlign w:val="center"/>
          </w:tcPr>
          <w:p>
            <w:pPr>
              <w:autoSpaceDE w:val="0"/>
              <w:autoSpaceDN w:val="0"/>
              <w:spacing w:after="0"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履约保证金</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980" w:type="dxa"/>
            <w:vAlign w:val="center"/>
          </w:tcPr>
          <w:p>
            <w:pPr>
              <w:autoSpaceDE w:val="0"/>
              <w:autoSpaceDN w:val="0"/>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信用、无行贿犯罪记录查询</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根据《关于在政府采购活动中查询及使用信用记录有关问题的通知》财库</w:t>
            </w:r>
            <w:r>
              <w:rPr>
                <w:rFonts w:ascii="仿宋" w:hAnsi="仿宋" w:eastAsia="仿宋" w:cs="仿宋"/>
                <w:color w:val="auto"/>
                <w:sz w:val="24"/>
                <w:szCs w:val="24"/>
                <w:highlight w:val="none"/>
              </w:rPr>
              <w:t>[2016]125</w:t>
            </w:r>
            <w:r>
              <w:rPr>
                <w:rFonts w:hint="eastAsia" w:ascii="仿宋" w:hAnsi="仿宋" w:eastAsia="仿宋" w:cs="仿宋"/>
                <w:color w:val="auto"/>
                <w:sz w:val="24"/>
                <w:szCs w:val="24"/>
                <w:highlight w:val="none"/>
              </w:rPr>
              <w:t>号的规定：</w:t>
            </w:r>
          </w:p>
          <w:p>
            <w:pPr>
              <w:autoSpaceDE w:val="0"/>
              <w:autoSpaceDN w:val="0"/>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采购人或采购代理机构将对本项目供应商的信用记录进行查询。查询渠道为信用中国网站（www.creditchina.gov.cn）、中国政府采购网（www.ccgp.gov.cn）；</w:t>
            </w:r>
          </w:p>
          <w:p>
            <w:pPr>
              <w:autoSpaceDE w:val="0"/>
              <w:autoSpaceDN w:val="0"/>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截止时点：提交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文件截止时间前3年内；</w:t>
            </w:r>
          </w:p>
          <w:p>
            <w:pPr>
              <w:autoSpaceDE w:val="0"/>
              <w:autoSpaceDN w:val="0"/>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查询记录和证据：信用信息查询记录和证据以网页截图为准；</w:t>
            </w:r>
          </w:p>
          <w:p>
            <w:pPr>
              <w:autoSpaceDE w:val="0"/>
              <w:autoSpaceDN w:val="0"/>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使用规则：被列入失信被执行人、重大税收违法案件当事人名单、政府采购严重违法失信行为记录名单及其他不符合《中华人民共和国政府采购法》第二十二条规定条件的，其</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980" w:type="dxa"/>
            <w:vAlign w:val="center"/>
          </w:tcPr>
          <w:p>
            <w:pPr>
              <w:autoSpaceDE w:val="0"/>
              <w:autoSpaceDN w:val="0"/>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采购结果</w:t>
            </w:r>
          </w:p>
          <w:p>
            <w:pPr>
              <w:autoSpaceDE w:val="0"/>
              <w:autoSpaceDN w:val="0"/>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公告期限</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980" w:type="dxa"/>
            <w:vAlign w:val="center"/>
          </w:tcPr>
          <w:p>
            <w:pPr>
              <w:autoSpaceDE w:val="0"/>
              <w:autoSpaceDN w:val="0"/>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采购公告，更正公告，成交公示发布网址</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阳光交易服务平台（https://qzygjy.com/）</w:t>
            </w:r>
            <w:r>
              <w:rPr>
                <w:rFonts w:hint="eastAsia" w:ascii="仿宋" w:hAnsi="仿宋" w:eastAsia="仿宋" w:cs="仿宋"/>
                <w:color w:val="auto"/>
                <w:sz w:val="24"/>
                <w:szCs w:val="24"/>
                <w:highlight w:val="none"/>
                <w:lang w:eastAsia="zh-CN"/>
              </w:rPr>
              <w:t>、浙江政府采购网（https://zfcg.czt.zj.gov.cn/）、衢州学院信息公开网（https://xxgk.qzc.edu.cn）、衢州学院招标采购网（https://zbcg.qzc.edu.cn）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980" w:type="dxa"/>
            <w:vAlign w:val="center"/>
          </w:tcPr>
          <w:p>
            <w:pPr>
              <w:autoSpaceDE w:val="0"/>
              <w:autoSpaceDN w:val="0"/>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其他注意事项</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磋商文件中部分加“▲”的条款，属于磋商文件的实质性要求和条件，着重提醒各供应商注意，并认真查看磋商文件中的每一个条款及要求，因误读磋商文件而造成的后果，采购人概不负责。</w:t>
            </w:r>
          </w:p>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本项目采购过程中经采购人代表同意，可能实质性变动采购需求中的技术、服务要求以及合同草案条款。</w:t>
            </w:r>
          </w:p>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以上内容如有变化将另行通知，如通知其中某一项内容发生变化，其余未提及的内容将不作变动。</w:t>
            </w:r>
          </w:p>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本项目采用不见面开</w:t>
            </w:r>
            <w:r>
              <w:rPr>
                <w:rFonts w:ascii="仿宋" w:hAnsi="仿宋" w:eastAsia="仿宋" w:cs="仿宋"/>
                <w:color w:val="auto"/>
                <w:sz w:val="24"/>
                <w:szCs w:val="24"/>
                <w:highlight w:val="none"/>
              </w:rPr>
              <w:t>评标</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文件截止时间后供应商凭介质CA锁完成磋商文件解密等事宜。供应商的联系电话在</w:t>
            </w:r>
            <w:r>
              <w:rPr>
                <w:rFonts w:hint="eastAsia" w:ascii="仿宋" w:hAnsi="仿宋" w:eastAsia="仿宋" w:cs="仿宋_GB2312"/>
                <w:color w:val="auto"/>
                <w:sz w:val="24"/>
                <w:szCs w:val="24"/>
                <w:highlight w:val="none"/>
              </w:rPr>
              <w:t>响应</w:t>
            </w:r>
            <w:r>
              <w:rPr>
                <w:rFonts w:hint="eastAsia" w:ascii="仿宋" w:hAnsi="仿宋" w:eastAsia="仿宋" w:cs="仿宋"/>
                <w:color w:val="auto"/>
                <w:sz w:val="24"/>
                <w:szCs w:val="24"/>
                <w:highlight w:val="none"/>
              </w:rPr>
              <w:t>当天保持通信畅通，因通信问题无法联系到供应商造成的后果由供应商自行承担。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22" w:type="dxa"/>
            <w:vAlign w:val="center"/>
          </w:tcPr>
          <w:p>
            <w:pPr>
              <w:spacing w:after="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980" w:type="dxa"/>
            <w:vAlign w:val="center"/>
          </w:tcPr>
          <w:p>
            <w:pPr>
              <w:autoSpaceDE w:val="0"/>
              <w:autoSpaceDN w:val="0"/>
              <w:spacing w:after="0"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解释</w:t>
            </w:r>
          </w:p>
        </w:tc>
        <w:tc>
          <w:tcPr>
            <w:tcW w:w="6594" w:type="dxa"/>
            <w:vAlign w:val="center"/>
          </w:tcPr>
          <w:p>
            <w:pPr>
              <w:autoSpaceDE w:val="0"/>
              <w:autoSpaceDN w:val="0"/>
              <w:spacing w:after="0" w:line="360" w:lineRule="auto"/>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本磋商文件的解释权归采购人和采购代理机构所有。</w:t>
            </w: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4"/>
        <w:numPr>
          <w:ilvl w:val="1"/>
          <w:numId w:val="0"/>
        </w:numPr>
        <w:spacing w:before="120" w:after="120"/>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二、磋商须知</w:t>
      </w:r>
    </w:p>
    <w:p>
      <w:pPr>
        <w:pStyle w:val="5"/>
        <w:numPr>
          <w:ilvl w:val="2"/>
          <w:numId w:val="0"/>
        </w:numPr>
        <w:spacing w:before="120" w:after="120"/>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GB4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总则</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1.1本磋商文件适用于本次采购活动中所叙述的</w:t>
      </w:r>
      <w:r>
        <w:rPr>
          <w:rFonts w:hint="eastAsia" w:ascii="仿宋" w:hAnsi="仿宋" w:eastAsia="仿宋" w:cs="仿宋"/>
          <w:color w:val="auto"/>
          <w:sz w:val="24"/>
          <w:szCs w:val="24"/>
          <w:highlight w:val="none"/>
          <w:lang w:eastAsia="zh-CN"/>
        </w:rPr>
        <w:t>衢州学院遴选合作银行项目</w:t>
      </w:r>
      <w:r>
        <w:rPr>
          <w:rFonts w:hint="eastAsia" w:ascii="仿宋" w:hAnsi="仿宋" w:eastAsia="仿宋" w:cs="仿宋"/>
          <w:color w:val="auto"/>
          <w:sz w:val="24"/>
          <w:szCs w:val="24"/>
          <w:highlight w:val="none"/>
        </w:rPr>
        <w:t>。</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2.定义解释</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2.1“采购人”是指</w:t>
      </w:r>
      <w:r>
        <w:rPr>
          <w:rFonts w:hint="eastAsia" w:ascii="仿宋" w:hAnsi="仿宋" w:eastAsia="仿宋" w:cs="仿宋"/>
          <w:color w:val="auto"/>
          <w:sz w:val="24"/>
          <w:szCs w:val="24"/>
          <w:highlight w:val="none"/>
          <w:lang w:eastAsia="zh-CN"/>
        </w:rPr>
        <w:t>衢州学院</w:t>
      </w:r>
      <w:r>
        <w:rPr>
          <w:rFonts w:hint="eastAsia" w:ascii="仿宋" w:hAnsi="仿宋" w:eastAsia="仿宋" w:cs="仿宋"/>
          <w:color w:val="auto"/>
          <w:sz w:val="24"/>
          <w:szCs w:val="24"/>
          <w:highlight w:val="none"/>
        </w:rPr>
        <w:t>。</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2.2“采购代理机构”是指</w:t>
      </w:r>
      <w:r>
        <w:rPr>
          <w:rFonts w:hint="eastAsia" w:ascii="仿宋" w:hAnsi="仿宋" w:eastAsia="仿宋" w:cs="仿宋"/>
          <w:color w:val="auto"/>
          <w:sz w:val="24"/>
          <w:szCs w:val="24"/>
          <w:highlight w:val="none"/>
          <w:lang w:eastAsia="zh-CN"/>
        </w:rPr>
        <w:t>耀华建设管理有限公司</w:t>
      </w:r>
      <w:r>
        <w:rPr>
          <w:rFonts w:hint="eastAsia" w:ascii="仿宋" w:hAnsi="仿宋" w:eastAsia="仿宋" w:cs="仿宋"/>
          <w:color w:val="auto"/>
          <w:sz w:val="24"/>
          <w:szCs w:val="24"/>
          <w:highlight w:val="none"/>
        </w:rPr>
        <w:t>。</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2.3“项目”系指供应商按磋商文件规定向采购人提供的货物或服务。</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2.4“供应商”是指获得磋商文件并向采购代理机构提交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文件的供应商。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2.5“潜在供应商”是指符合磋商文件规定的合格供应商。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2.6“成交供应商”是指经磋商小组审查通过，并经公示无异议的供应商。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2.7“供应商代表”是指供应商法定代表人（负责人）或被供应商法定代表人（负责人）授权委托的人。</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2.8“采购单位”是指采购代理机构及采购人。</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2.9“货物”系指供应商按磋商文件规定向采购人提供的各类设备、软件、产品、技术资料及使用手册等。</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2.10“服务”系指根据本合同规定，成交供应商必须承担的与委托服务有关的服务。</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2.11“▲”系指按本磋商文件要求供应商必须实质性响应的条款。</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3.项目说明</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3.1本采购项目说明详见磋商文件供应商须知前附表。</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3.2本采购项目</w:t>
      </w:r>
      <w:r>
        <w:rPr>
          <w:rFonts w:hint="eastAsia" w:ascii="仿宋" w:hAnsi="仿宋" w:eastAsia="仿宋" w:cs="仿宋"/>
          <w:color w:val="auto"/>
          <w:sz w:val="24"/>
          <w:szCs w:val="24"/>
          <w:highlight w:val="none"/>
          <w:lang w:val="en-US" w:eastAsia="zh-CN"/>
        </w:rPr>
        <w:t>参照</w:t>
      </w:r>
      <w:r>
        <w:rPr>
          <w:rFonts w:hint="eastAsia" w:ascii="仿宋" w:hAnsi="仿宋" w:eastAsia="仿宋"/>
          <w:bCs/>
          <w:color w:val="auto"/>
          <w:sz w:val="24"/>
          <w:highlight w:val="none"/>
        </w:rPr>
        <w:t>《中华人民共和国政府采购法》</w:t>
      </w:r>
      <w:r>
        <w:rPr>
          <w:rFonts w:hint="eastAsia" w:ascii="仿宋" w:hAnsi="仿宋" w:eastAsia="仿宋" w:cs="仿宋"/>
          <w:color w:val="auto"/>
          <w:sz w:val="24"/>
          <w:szCs w:val="24"/>
          <w:highlight w:val="none"/>
        </w:rPr>
        <w:t>等有关法律、行政法规和部门规章，通过竞争性磋商方式选定成交供应商。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4.采购方式</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5.合格供应商的条件</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凡符合本磋商文件第一部分竞争性磋商公告供应商资格要求的均为合格的供应商。</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6.磋商费用</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无论磋商过程中的做法和结果如何，供应商自行承担磋商活动中所发生的全部费用。</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7.知识产权</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供应商应保证在本项目使用的任何产品和服务（包括部分使用），不会产生因第三方提出侵犯其专利权、商标权或其它知识产权而引起法律或经济纠纷。如因专利权、商标权或其他知识产权原因引起法律或经济纠纷的，所有相关责任由供应商承担。</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7.2采购人享有本项目实施过程中产生的知识成果及知识产权。</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7.3如采用供应商所不拥有的知识产权，则在</w:t>
      </w:r>
      <w:r>
        <w:rPr>
          <w:rFonts w:hint="eastAsia" w:ascii="仿宋" w:hAnsi="仿宋" w:eastAsia="仿宋" w:cs="仿宋_GB2312"/>
          <w:color w:val="auto"/>
          <w:sz w:val="24"/>
          <w:szCs w:val="24"/>
          <w:highlight w:val="none"/>
        </w:rPr>
        <w:t>响应</w:t>
      </w:r>
      <w:r>
        <w:rPr>
          <w:rFonts w:hint="eastAsia" w:ascii="仿宋" w:hAnsi="仿宋" w:eastAsia="仿宋" w:cs="仿宋"/>
          <w:color w:val="auto"/>
          <w:sz w:val="24"/>
          <w:szCs w:val="24"/>
          <w:highlight w:val="none"/>
        </w:rPr>
        <w:t>报价中必须包括供应商合法获得该知识产权的相关费用，无论供应商是否在响应报价中单独列明，采购人均视为响应报价已包含该部分费用。</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8.联合体</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8.1本项目不接受联合体磋商。</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9.转包或分包</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本项目不允许转包。分包须经采购人书面同意后方可实施。</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10.其他</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10.1如发现磋商文件及其</w:t>
      </w:r>
      <w:r>
        <w:rPr>
          <w:rFonts w:ascii="仿宋" w:hAnsi="仿宋" w:eastAsia="仿宋" w:cs="仿宋"/>
          <w:color w:val="auto"/>
          <w:sz w:val="24"/>
          <w:szCs w:val="24"/>
          <w:highlight w:val="none"/>
        </w:rPr>
        <w:t>评审</w:t>
      </w:r>
      <w:r>
        <w:rPr>
          <w:rFonts w:hint="eastAsia" w:ascii="仿宋" w:hAnsi="仿宋" w:eastAsia="仿宋" w:cs="仿宋"/>
          <w:color w:val="auto"/>
          <w:sz w:val="24"/>
          <w:szCs w:val="24"/>
          <w:highlight w:val="none"/>
        </w:rPr>
        <w:t>办法中存在含糊不清、相互矛盾、多种含义以及歧视性不公正条款或违法违规等内容时，请在规定的询疑时间前同时向采购人、采购代理机构书面反映，逾期不得再对磋商文件的条款质疑。</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10.2本磋商文件及相应的补充文件、通知等解释权归采购人和采购代理机构所有。</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11.特别说明</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11.1供应商所使用的资格、信誉、业绩与企业认证必须为本法人所拥有。</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▲11.2供应商应仔细阅读磋商文件的所有内容，按照磋商文件的要求提交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文件，并对所提供的全部资料的真实性承担法律责任。</w:t>
      </w:r>
    </w:p>
    <w:p>
      <w:pPr>
        <w:spacing w:after="0"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▲11.3供应商在投标活动中提供任何虚假材料，其投标无效，并报监管部门查处；成交后发现的，其成交无效，按照有关法律法规追究其相关责任并赔偿采购人相关损失。</w:t>
      </w:r>
    </w:p>
    <w:p>
      <w:pPr>
        <w:pStyle w:val="5"/>
        <w:numPr>
          <w:ilvl w:val="2"/>
          <w:numId w:val="0"/>
        </w:numPr>
        <w:spacing w:beforeLines="0" w:after="0" w:afterLines="0"/>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GB4 \* MERGEFORMAT </w:instrText>
      </w:r>
      <w:r>
        <w:rPr>
          <w:rFonts w:hint="eastAsia" w:ascii="仿宋" w:hAnsi="仿宋" w:eastAsia="仿宋" w:cs="仿宋"/>
          <w:color w:val="auto"/>
          <w:sz w:val="24"/>
          <w:szCs w:val="24"/>
          <w:highlight w:val="none"/>
        </w:rPr>
        <w:fldChar w:fldCharType="separate"/>
      </w:r>
      <w:r>
        <w:rPr>
          <w:rFonts w:ascii="仿宋" w:hAnsi="仿宋" w:eastAsia="仿宋" w:cs="仿宋"/>
          <w:color w:val="auto"/>
          <w:sz w:val="24"/>
          <w:szCs w:val="24"/>
          <w:highlight w:val="none"/>
        </w:rPr>
        <w:t>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磋商文件</w:t>
      </w:r>
    </w:p>
    <w:p>
      <w:pPr>
        <w:pStyle w:val="19"/>
        <w:spacing w:line="360" w:lineRule="auto"/>
        <w:ind w:left="0" w:leftChars="0" w:firstLine="482" w:firstLineChars="200"/>
        <w:rPr>
          <w:rFonts w:ascii="仿宋" w:hAnsi="仿宋" w:eastAsia="仿宋" w:cs="仿宋"/>
          <w:b/>
          <w:color w:val="auto"/>
          <w:sz w:val="24"/>
          <w:highlight w:val="none"/>
        </w:rPr>
      </w:pPr>
      <w:r>
        <w:rPr>
          <w:rFonts w:ascii="仿宋" w:hAnsi="仿宋" w:eastAsia="仿宋" w:cs="仿宋"/>
          <w:b/>
          <w:color w:val="auto"/>
          <w:sz w:val="24"/>
          <w:highlight w:val="none"/>
        </w:rPr>
        <w:t>1</w:t>
      </w:r>
      <w:r>
        <w:rPr>
          <w:rFonts w:hint="eastAsia" w:ascii="仿宋" w:hAnsi="仿宋" w:eastAsia="仿宋" w:cs="仿宋"/>
          <w:b/>
          <w:color w:val="auto"/>
          <w:sz w:val="24"/>
          <w:highlight w:val="none"/>
        </w:rPr>
        <w:t>.磋商文件的组成</w:t>
      </w:r>
    </w:p>
    <w:p>
      <w:pPr>
        <w:spacing w:after="0"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磋商文件共分为</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部分，其内容如下：</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第一部分磋商公告</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第二部分磋商须知前附表及磋商须知</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第三部分采购内容及要求</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第四部分合同样本</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第五部分磋商程序及评定成交标准</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文件相关格式</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1.2除上条1.1内容外，采购人在规定时间前，以书面形式发出的对磋商文件的澄清或修改内容，均为磋商文件的组成部分。</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1.3供应商如在法律法规规定的时间内逾期对磋商文件提出异议的，采购人可不予受理、答复。</w:t>
      </w:r>
    </w:p>
    <w:p>
      <w:pPr>
        <w:pStyle w:val="19"/>
        <w:spacing w:line="360" w:lineRule="auto"/>
        <w:ind w:left="0" w:leftChars="0"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2.磋商文件的澄清与修改</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2.1采购人对磋商文件进行必要的澄清或者修改的，在发布竞争性磋商公告的网站上发布更正公告。澄清或者修改的内容可能影响</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文件编制的，更正公告在提交</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文件截止时间至少5日前发出；不足5日的，顺延提交首次</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文件截止时间。</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2.2更正公告为磋商文件的组成部分，一经在网站发布，视同已通知所有磋商文件的收受人，不再采用其他方式传达相关信息，若因未能及时了解到上述网站上发布的相关信息而导致的一切后果自行承担。</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2.3如更正公告有重新发布电子磋商文件的，供应商应下载最新发布的电子磋商文件制作响应文件。</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2.4供应商在规定的时间内未对磋商文件提出疑问、质疑或要求澄清的，将视其为无异议。对磋商文件中描述有歧义或前后不一致的地方，磋商小组有权进行评判，但对同一条款的评判应适用于每个供应商。</w:t>
      </w:r>
    </w:p>
    <w:p>
      <w:pPr>
        <w:pStyle w:val="5"/>
        <w:numPr>
          <w:ilvl w:val="2"/>
          <w:numId w:val="0"/>
        </w:numPr>
        <w:spacing w:beforeLines="0" w:after="0" w:afterLines="0"/>
        <w:ind w:firstLine="482" w:firstLineChars="200"/>
        <w:rPr>
          <w:rFonts w:ascii="仿宋" w:hAnsi="仿宋" w:eastAsia="仿宋" w:cs="仿宋"/>
          <w:color w:val="auto"/>
          <w:sz w:val="24"/>
          <w:szCs w:val="24"/>
          <w:highlight w:val="none"/>
        </w:rPr>
      </w:pPr>
      <w:bookmarkStart w:id="4" w:name="_Hlk199866541"/>
      <w:r>
        <w:rPr>
          <w:rFonts w:hint="eastAsia" w:ascii="仿宋" w:hAnsi="仿宋" w:eastAsia="仿宋" w:cs="仿宋"/>
          <w:color w:val="auto"/>
          <w:sz w:val="24"/>
          <w:szCs w:val="24"/>
          <w:highlight w:val="none"/>
        </w:rPr>
        <w:t>3.响应文件的编制</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响应文件由【资格审查文件】【技术商务文件】和【报价文件】三部分组成，其中“资格审查文件”“技术商务文件”部分不得包含与本次项目有关的报价，否则作无效标处理。电子响应文件中须加盖公章部分均可采用CA签章。</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3.2【资格审查文件】包括但不限于以下内容：</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响应函；</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供应商资格声明；</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有效期内的营业执照（或事业法人登记证书或其他工商等登记证明材料）扫描件；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法定代表人（负责人）身份证明或法定代表人（负责人）授权委托书；</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符合参加</w:t>
      </w:r>
      <w:r>
        <w:rPr>
          <w:rFonts w:hint="eastAsia" w:ascii="仿宋" w:hAnsi="仿宋" w:eastAsia="仿宋" w:cs="仿宋"/>
          <w:color w:val="auto"/>
          <w:sz w:val="24"/>
          <w:szCs w:val="24"/>
          <w:highlight w:val="none"/>
          <w:lang w:val="en-US" w:eastAsia="zh-CN"/>
        </w:rPr>
        <w:t>政府</w:t>
      </w:r>
      <w:r>
        <w:rPr>
          <w:rFonts w:hint="eastAsia" w:ascii="仿宋" w:hAnsi="仿宋" w:eastAsia="仿宋" w:cs="仿宋"/>
          <w:color w:val="auto"/>
          <w:sz w:val="24"/>
          <w:szCs w:val="24"/>
          <w:highlight w:val="none"/>
        </w:rPr>
        <w:t>采购活动应当具备的一般条件的承诺函；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⑹供应商自认为需要提供的其他资料（格式自拟）。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3.3【技术商务文件】包括但不限于以下内容：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评分索引表；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⑵偏离表；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⑶供应商按照评分标准要求提供的相应资料（格式自拟）。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3.4【报价文件】包括但不限于以下内容：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开标一览表；</w:t>
      </w:r>
    </w:p>
    <w:p>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 2 \* GB2 \* MERGEFORMAT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⑵</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最终报价；</w:t>
      </w:r>
      <w:r>
        <w:rPr>
          <w:rFonts w:hint="eastAsia" w:ascii="仿宋" w:hAnsi="仿宋" w:eastAsia="仿宋" w:cs="仿宋"/>
          <w:b/>
          <w:bCs/>
          <w:color w:val="auto"/>
          <w:szCs w:val="24"/>
          <w:highlight w:val="none"/>
        </w:rPr>
        <w:t>（将在阳光交易平台上开启二轮报价，供应商需在平台上完成二次报价及相应签章）</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供应商认为需要提供的其他相关资料（如有）。</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注：1.请供应商在编制响应文件时仔细阅读本磋商文件及其他辅助资料，根据本磋商文件中</w:t>
      </w:r>
      <w:r>
        <w:rPr>
          <w:rFonts w:ascii="仿宋" w:hAnsi="仿宋" w:eastAsia="仿宋" w:cs="仿宋"/>
          <w:b/>
          <w:bCs/>
          <w:color w:val="auto"/>
          <w:sz w:val="24"/>
          <w:szCs w:val="24"/>
          <w:highlight w:val="none"/>
        </w:rPr>
        <w:t>评审</w:t>
      </w:r>
      <w:r>
        <w:rPr>
          <w:rFonts w:hint="eastAsia" w:ascii="仿宋" w:hAnsi="仿宋" w:eastAsia="仿宋" w:cs="仿宋"/>
          <w:b/>
          <w:bCs/>
          <w:color w:val="auto"/>
          <w:sz w:val="24"/>
          <w:szCs w:val="24"/>
          <w:highlight w:val="none"/>
        </w:rPr>
        <w:t>原则及方法中所列内容结合自身情况据实提供相关资料。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2.以上所需的各种证书、证件、证明、执照须在扫描件上加盖有效印章并编入在响应文件内。未提供格式的请格式自拟。</w:t>
      </w:r>
    </w:p>
    <w:p>
      <w:pPr>
        <w:pStyle w:val="18"/>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仿宋" w:hAnsi="仿宋" w:eastAsia="仿宋" w:cs="仿宋"/>
          <w:b/>
          <w:color w:val="auto"/>
          <w:highlight w:val="none"/>
        </w:rPr>
      </w:pPr>
      <w:r>
        <w:rPr>
          <w:rFonts w:hint="eastAsia" w:ascii="仿宋" w:hAnsi="仿宋" w:eastAsia="仿宋" w:cs="仿宋"/>
          <w:b/>
          <w:color w:val="auto"/>
          <w:highlight w:val="none"/>
        </w:rPr>
        <w:t>3.响应文件的编制格式及说明</w:t>
      </w:r>
    </w:p>
    <w:p>
      <w:pPr>
        <w:pStyle w:val="18"/>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仿宋" w:hAnsi="仿宋" w:eastAsia="仿宋" w:cs="仿宋"/>
          <w:b/>
          <w:color w:val="auto"/>
          <w:highlight w:val="none"/>
        </w:rPr>
      </w:pPr>
      <w:r>
        <w:rPr>
          <w:rFonts w:hint="eastAsia" w:ascii="仿宋" w:hAnsi="仿宋" w:eastAsia="仿宋" w:cs="仿宋"/>
          <w:b/>
          <w:color w:val="auto"/>
          <w:highlight w:val="none"/>
        </w:rPr>
        <w:t>3.1电子响应文件即本文件所述响应文件“电子加密响应文件”，在“响应文件制作软件（</w:t>
      </w:r>
      <w:r>
        <w:rPr>
          <w:rFonts w:hint="eastAsia" w:ascii="仿宋" w:hAnsi="仿宋" w:eastAsia="仿宋" w:cs="仿宋"/>
          <w:b/>
          <w:color w:val="auto"/>
          <w:highlight w:val="none"/>
          <w:lang w:eastAsia="zh-CN"/>
        </w:rPr>
        <w:t>一标通</w:t>
      </w:r>
      <w:r>
        <w:rPr>
          <w:rFonts w:hint="eastAsia" w:ascii="仿宋" w:hAnsi="仿宋" w:eastAsia="仿宋" w:cs="仿宋"/>
          <w:b/>
          <w:color w:val="auto"/>
          <w:highlight w:val="none"/>
        </w:rPr>
        <w:t>）”响应文件编制完成后生成；</w:t>
      </w:r>
    </w:p>
    <w:p>
      <w:pPr>
        <w:pStyle w:val="18"/>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仿宋" w:hAnsi="仿宋" w:eastAsia="仿宋" w:cs="仿宋"/>
          <w:b/>
          <w:color w:val="auto"/>
          <w:highlight w:val="none"/>
        </w:rPr>
      </w:pPr>
      <w:r>
        <w:rPr>
          <w:rFonts w:hint="eastAsia" w:ascii="仿宋" w:hAnsi="仿宋" w:eastAsia="仿宋" w:cs="仿宋"/>
          <w:b/>
          <w:color w:val="auto"/>
          <w:highlight w:val="none"/>
        </w:rPr>
        <w:t>“电子加密响应文件”是指通过“响应文件制作软件（</w:t>
      </w:r>
      <w:r>
        <w:rPr>
          <w:rFonts w:hint="eastAsia" w:ascii="仿宋" w:hAnsi="仿宋" w:eastAsia="仿宋" w:cs="仿宋"/>
          <w:b/>
          <w:color w:val="auto"/>
          <w:highlight w:val="none"/>
          <w:lang w:eastAsia="zh-CN"/>
        </w:rPr>
        <w:t>一标通</w:t>
      </w:r>
      <w:r>
        <w:rPr>
          <w:rFonts w:hint="eastAsia" w:ascii="仿宋" w:hAnsi="仿宋" w:eastAsia="仿宋" w:cs="仿宋"/>
          <w:b/>
          <w:color w:val="auto"/>
          <w:highlight w:val="none"/>
        </w:rPr>
        <w:t>）”完成响应文件编制后生成并加密的数据电文形式的响应文件。</w:t>
      </w:r>
    </w:p>
    <w:p>
      <w:pPr>
        <w:pStyle w:val="18"/>
        <w:spacing w:after="0" w:line="360" w:lineRule="auto"/>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3.2响应文件应包括规定的内容，供应商提交的响应文件应当按磋商文件所需提供的全部格式（格式可以按同样格式扩展）；磋商文件未提供标准格式的，由供应商自行编写。</w:t>
      </w:r>
    </w:p>
    <w:bookmarkEnd w:id="4"/>
    <w:p>
      <w:pPr>
        <w:pStyle w:val="18"/>
        <w:spacing w:after="0" w:line="360" w:lineRule="auto"/>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3.3供应商应在认真阅读磋商文件所有内容的基础上，按照磋商文件的要求编制完整的响应文件，响应文件应按照磋商文件中规定的统一格式填写，严格按照规定的顺序编制目录，混乱的编排或未按磋商文件所提供的统一格式编写与漏写而导致响应文件被误读或查找不到有效文件由供应商承担风险。</w:t>
      </w:r>
    </w:p>
    <w:p>
      <w:pPr>
        <w:pStyle w:val="18"/>
        <w:spacing w:after="0" w:line="360" w:lineRule="auto"/>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3.4供应商必须保证响应文件所提供的全部资料真实可靠，并接受对其中任何资料进一步审查的要求。</w:t>
      </w:r>
    </w:p>
    <w:p>
      <w:pPr>
        <w:pStyle w:val="5"/>
        <w:numPr>
          <w:ilvl w:val="2"/>
          <w:numId w:val="0"/>
        </w:numPr>
        <w:spacing w:beforeLines="0" w:after="0" w:afterLines="0"/>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4.响应报价</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4.1供应商应以</w:t>
      </w: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rPr>
        <w:t>报价。</w:t>
      </w:r>
    </w:p>
    <w:p>
      <w:pPr>
        <w:spacing w:after="0" w:line="360" w:lineRule="auto"/>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4.2</w:t>
      </w:r>
      <w:r>
        <w:rPr>
          <w:rFonts w:hint="eastAsia" w:ascii="仿宋" w:hAnsi="仿宋" w:eastAsia="仿宋" w:cs="仿宋"/>
          <w:b/>
          <w:bCs/>
          <w:color w:val="auto"/>
          <w:sz w:val="24"/>
          <w:szCs w:val="24"/>
          <w:highlight w:val="none"/>
        </w:rPr>
        <w:t>报价须包含</w:t>
      </w:r>
      <w:r>
        <w:rPr>
          <w:rFonts w:hint="eastAsia" w:ascii="仿宋" w:hAnsi="仿宋" w:eastAsia="仿宋" w:cs="仿宋"/>
          <w:b/>
          <w:bCs/>
          <w:color w:val="auto"/>
          <w:sz w:val="24"/>
          <w:szCs w:val="24"/>
          <w:highlight w:val="none"/>
          <w:lang w:val="en-US" w:eastAsia="zh-CN"/>
        </w:rPr>
        <w:t>合同实施过程中的应预见和不可预见费用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采购人不再为本项目支付其它任何费用。在合同服务期间内不得违反国家相关政策规定。招标文件未列明，而</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认为必需的费用也需列入报价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成交供应商</w:t>
      </w:r>
      <w:r>
        <w:rPr>
          <w:rFonts w:hint="eastAsia" w:ascii="仿宋" w:hAnsi="仿宋" w:eastAsia="仿宋" w:cs="仿宋"/>
          <w:b/>
          <w:bCs/>
          <w:color w:val="auto"/>
          <w:sz w:val="24"/>
          <w:szCs w:val="24"/>
          <w:highlight w:val="none"/>
        </w:rPr>
        <w:t>应列入而未列入其中的费用，均视为已包含在内，风险由中标人承担。</w:t>
      </w:r>
      <w:r>
        <w:rPr>
          <w:rFonts w:hint="eastAsia" w:ascii="仿宋" w:hAnsi="仿宋" w:eastAsia="仿宋" w:cs="仿宋"/>
          <w:b/>
          <w:bCs/>
          <w:color w:val="auto"/>
          <w:sz w:val="24"/>
          <w:szCs w:val="24"/>
          <w:highlight w:val="none"/>
          <w:lang w:val="en-US" w:eastAsia="zh-CN"/>
        </w:rPr>
        <w:t>成交供应商</w:t>
      </w:r>
      <w:r>
        <w:rPr>
          <w:rFonts w:hint="eastAsia" w:ascii="仿宋" w:hAnsi="仿宋" w:eastAsia="仿宋" w:cs="仿宋"/>
          <w:b/>
          <w:bCs/>
          <w:color w:val="auto"/>
          <w:sz w:val="24"/>
          <w:szCs w:val="24"/>
          <w:highlight w:val="none"/>
        </w:rPr>
        <w:t>不得以遗漏或疏忽为由向招标人主张增加费用或开支</w:t>
      </w:r>
      <w:r>
        <w:rPr>
          <w:rFonts w:hint="eastAsia" w:ascii="仿宋" w:hAnsi="仿宋" w:eastAsia="仿宋" w:cs="仿宋"/>
          <w:b/>
          <w:bCs/>
          <w:color w:val="auto"/>
          <w:sz w:val="24"/>
          <w:szCs w:val="24"/>
          <w:highlight w:val="none"/>
          <w:lang w:eastAsia="zh-CN"/>
        </w:rPr>
        <w:t>。</w:t>
      </w:r>
    </w:p>
    <w:p>
      <w:pPr>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4.3采购人不接受任何选择报价，只允许一个报价。</w:t>
      </w:r>
    </w:p>
    <w:p>
      <w:pPr>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4.4供应商应根据要求报价，报价单中不得漏填项目。</w:t>
      </w:r>
    </w:p>
    <w:p>
      <w:pPr>
        <w:pStyle w:val="5"/>
        <w:numPr>
          <w:ilvl w:val="2"/>
          <w:numId w:val="0"/>
        </w:numPr>
        <w:spacing w:beforeLines="0" w:after="0" w:afterLines="0"/>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5.响应文件的要求</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5.1供应商应按本响应文件规定份数上传响应文件。</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5.2供应商应根据磋商文件要求，在响应文件适当的位置填写供应商全称并加盖印章，同时签署供应商代表的全名。响应文件必须由供应商代表签署。</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5.3响应文件不得涂改和增删，如有修改错漏处，必须由同一供应商加盖公章。</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5.4响应文件因字迹潦草或表达不清所引起的后果由供应商负责。</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5.5响应文件的签章：见《前附表》；电子响应文件中须加盖公章部分均采用使用介质 CA 锁加盖供应商单位电子公章及法定代表人（负责人）电子签章。电子签章操作指南详见衢州市阳光交易服务平台交易乙方操作手册。</w:t>
      </w:r>
    </w:p>
    <w:p>
      <w:pPr>
        <w:pStyle w:val="63"/>
        <w:spacing w:after="0"/>
        <w:ind w:firstLine="560"/>
        <w:jc w:val="left"/>
        <w:outlineLvl w:val="1"/>
        <w:rPr>
          <w:rFonts w:ascii="仿宋" w:hAnsi="仿宋" w:eastAsia="仿宋" w:cs="仿宋_GB2312"/>
          <w:b/>
          <w:color w:val="auto"/>
          <w:sz w:val="24"/>
          <w:szCs w:val="24"/>
          <w:highlight w:val="none"/>
        </w:rPr>
      </w:pPr>
      <w:bookmarkStart w:id="5" w:name="_Toc24664"/>
      <w:bookmarkStart w:id="6" w:name="_Toc9722"/>
      <w:bookmarkStart w:id="7" w:name="_Toc16427"/>
      <w:bookmarkStart w:id="8" w:name="_Toc30648"/>
      <w:r>
        <w:rPr>
          <w:rFonts w:hint="eastAsia" w:ascii="仿宋" w:hAnsi="仿宋" w:eastAsia="仿宋" w:cs="仿宋_GB2312"/>
          <w:b/>
          <w:color w:val="auto"/>
          <w:sz w:val="24"/>
          <w:szCs w:val="24"/>
          <w:highlight w:val="none"/>
        </w:rPr>
        <w:t>三、响应有效期</w:t>
      </w:r>
      <w:bookmarkEnd w:id="5"/>
      <w:bookmarkEnd w:id="6"/>
      <w:bookmarkEnd w:id="7"/>
      <w:bookmarkEnd w:id="8"/>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1.响应有效期见本磋商文件中前附表所规定的期限，在此期限内，凡符合磋商文件要求的响应文件均保持有效。</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2.在特殊情况下，采购人在原定</w:t>
      </w:r>
      <w:r>
        <w:rPr>
          <w:rFonts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rPr>
        <w:t>内，可以根据需要以书面形式向供应商提出延长</w:t>
      </w:r>
      <w:r>
        <w:rPr>
          <w:rFonts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rPr>
        <w:t>的要求，对此要求供应商须以书面形式予以答复。供应商可以拒绝采购人这种要求，但同意延长</w:t>
      </w:r>
      <w:r>
        <w:rPr>
          <w:rFonts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rPr>
        <w:t>的供应商既不能要求也不允许修改其响应文件。</w:t>
      </w:r>
    </w:p>
    <w:p>
      <w:pPr>
        <w:pStyle w:val="63"/>
        <w:spacing w:after="0"/>
        <w:ind w:firstLine="560"/>
        <w:jc w:val="left"/>
        <w:outlineLvl w:val="1"/>
        <w:rPr>
          <w:rFonts w:ascii="仿宋" w:hAnsi="仿宋" w:eastAsia="仿宋" w:cs="仿宋_GB2312"/>
          <w:b/>
          <w:color w:val="auto"/>
          <w:sz w:val="24"/>
          <w:szCs w:val="24"/>
          <w:highlight w:val="none"/>
        </w:rPr>
      </w:pPr>
      <w:bookmarkStart w:id="9" w:name="_Toc30678"/>
      <w:bookmarkStart w:id="10" w:name="_Toc21315"/>
      <w:bookmarkStart w:id="11" w:name="_Toc26656"/>
      <w:bookmarkStart w:id="12" w:name="_Toc91899892"/>
      <w:bookmarkStart w:id="13" w:name="_Toc6494380"/>
      <w:bookmarkStart w:id="14" w:name="_Toc8693"/>
      <w:r>
        <w:rPr>
          <w:rFonts w:hint="eastAsia" w:ascii="仿宋" w:hAnsi="仿宋" w:eastAsia="仿宋" w:cs="仿宋_GB2312"/>
          <w:b/>
          <w:color w:val="auto"/>
          <w:sz w:val="24"/>
          <w:szCs w:val="24"/>
          <w:highlight w:val="none"/>
        </w:rPr>
        <w:t>四、</w:t>
      </w:r>
      <w:bookmarkEnd w:id="9"/>
      <w:bookmarkEnd w:id="10"/>
      <w:bookmarkEnd w:id="11"/>
      <w:bookmarkEnd w:id="12"/>
      <w:bookmarkEnd w:id="13"/>
      <w:bookmarkEnd w:id="14"/>
      <w:bookmarkStart w:id="15" w:name="_Toc26422"/>
      <w:bookmarkStart w:id="16" w:name="_Toc26964"/>
      <w:bookmarkStart w:id="17" w:name="_Toc1675"/>
      <w:bookmarkStart w:id="18" w:name="_Toc3316"/>
      <w:bookmarkStart w:id="19" w:name="_Toc6494381"/>
      <w:bookmarkStart w:id="20" w:name="_Toc91899897"/>
      <w:bookmarkStart w:id="21" w:name="_Toc233618976"/>
      <w:r>
        <w:rPr>
          <w:rFonts w:hint="eastAsia" w:ascii="仿宋" w:hAnsi="仿宋" w:eastAsia="仿宋" w:cs="仿宋_GB2312"/>
          <w:b/>
          <w:color w:val="auto"/>
          <w:sz w:val="24"/>
          <w:szCs w:val="24"/>
          <w:highlight w:val="none"/>
        </w:rPr>
        <w:t>响应文件开启</w:t>
      </w:r>
      <w:bookmarkEnd w:id="15"/>
      <w:bookmarkEnd w:id="16"/>
      <w:bookmarkEnd w:id="17"/>
      <w:bookmarkEnd w:id="18"/>
    </w:p>
    <w:bookmarkEnd w:id="19"/>
    <w:bookmarkEnd w:id="20"/>
    <w:bookmarkEnd w:id="21"/>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1.开标形式</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采购组织机构将按照磋商文件规定的时间通过“衢州市阳光交易服务平台”组织开标、开启响应文件，所有供应商均应当准时在线参加。</w:t>
      </w:r>
    </w:p>
    <w:p>
      <w:pPr>
        <w:pStyle w:val="63"/>
        <w:spacing w:after="0"/>
        <w:ind w:firstLine="480" w:firstLineChars="200"/>
        <w:jc w:val="left"/>
        <w:rPr>
          <w:rFonts w:ascii="仿宋" w:hAnsi="仿宋" w:eastAsia="仿宋" w:cs="仿宋_GB2312"/>
          <w:bCs/>
          <w:color w:val="auto"/>
          <w:sz w:val="24"/>
          <w:szCs w:val="24"/>
          <w:highlight w:val="none"/>
        </w:rPr>
      </w:pPr>
      <w:bookmarkStart w:id="22" w:name="_Toc24550037"/>
      <w:bookmarkStart w:id="23" w:name="_Toc7060"/>
      <w:bookmarkStart w:id="24" w:name="_Toc5796"/>
      <w:bookmarkStart w:id="25" w:name="_Toc24211"/>
      <w:bookmarkStart w:id="26" w:name="_Toc14554"/>
      <w:bookmarkStart w:id="27" w:name="_Toc33194393"/>
      <w:r>
        <w:rPr>
          <w:rFonts w:hint="eastAsia" w:ascii="仿宋" w:hAnsi="仿宋" w:eastAsia="仿宋" w:cs="仿宋_GB2312"/>
          <w:bCs/>
          <w:color w:val="auto"/>
          <w:sz w:val="24"/>
          <w:szCs w:val="24"/>
          <w:highlight w:val="none"/>
        </w:rPr>
        <w:t>2.开标准备</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供应商须准备好加密响应文件的介质CA锁以供开标时远程解密响应文件。</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color w:val="auto"/>
          <w:sz w:val="24"/>
          <w:szCs w:val="24"/>
          <w:highlight w:val="none"/>
        </w:rPr>
        <w:t>响应</w:t>
      </w:r>
      <w:r>
        <w:rPr>
          <w:rFonts w:hint="eastAsia" w:ascii="仿宋" w:hAnsi="仿宋" w:eastAsia="仿宋" w:cs="仿宋"/>
          <w:bCs/>
          <w:color w:val="auto"/>
          <w:sz w:val="24"/>
          <w:szCs w:val="24"/>
          <w:highlight w:val="none"/>
        </w:rPr>
        <w:t>截止时间</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采购代理机构（或公证人员）宣布开始开标，宣布开标项目名称，公布在</w:t>
      </w:r>
      <w:r>
        <w:rPr>
          <w:rFonts w:hint="eastAsia" w:ascii="仿宋" w:hAnsi="仿宋" w:eastAsia="仿宋" w:cs="仿宋"/>
          <w:color w:val="auto"/>
          <w:sz w:val="24"/>
          <w:szCs w:val="24"/>
          <w:highlight w:val="none"/>
        </w:rPr>
        <w:t>响应</w:t>
      </w:r>
      <w:r>
        <w:rPr>
          <w:rFonts w:hint="eastAsia" w:ascii="仿宋" w:hAnsi="仿宋" w:eastAsia="仿宋" w:cs="仿宋"/>
          <w:bCs/>
          <w:color w:val="auto"/>
          <w:sz w:val="24"/>
          <w:szCs w:val="24"/>
          <w:highlight w:val="none"/>
        </w:rPr>
        <w:t>截止时间前受理的</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文件的供应商名称。</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供应商解密</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供应商解密时间：采购代理机构（或公证人员）宣布开始解密后30分钟以内。供应商解密方式：供应商自行登录衢州市阳光交易服务平台不见面开标大厅。</w:t>
      </w:r>
    </w:p>
    <w:p>
      <w:pPr>
        <w:pStyle w:val="63"/>
        <w:spacing w:after="0"/>
        <w:ind w:firstLine="560"/>
        <w:jc w:val="left"/>
        <w:rPr>
          <w:rFonts w:ascii="仿宋" w:hAnsi="仿宋" w:eastAsia="仿宋" w:cs="仿宋"/>
          <w:color w:val="auto"/>
          <w:highlight w:val="none"/>
        </w:rPr>
      </w:pPr>
      <w:r>
        <w:rPr>
          <w:rFonts w:hint="eastAsia" w:ascii="仿宋" w:hAnsi="仿宋" w:eastAsia="仿宋" w:cs="仿宋"/>
          <w:bCs/>
          <w:color w:val="auto"/>
          <w:sz w:val="24"/>
          <w:szCs w:val="24"/>
          <w:highlight w:val="none"/>
        </w:rPr>
        <w:t>(https://qzygjy.com/BidOpening/bidopeninghallaction/hall/login)——供应商身份——我的项目——选择标段——待采购代理开启解密后进行解密操作供应商在规定的时间内都已完成解密，则系统自动结束解密；供应商因自身原因未在规定时间内完成解密，则默认自动放弃；解密异常情况请联系</w:t>
      </w:r>
      <w:r>
        <w:rPr>
          <w:rFonts w:hint="eastAsia" w:ascii="仿宋" w:hAnsi="仿宋" w:eastAsia="仿宋" w:cs="仿宋"/>
          <w:b/>
          <w:color w:val="auto"/>
          <w:sz w:val="24"/>
          <w:szCs w:val="24"/>
          <w:highlight w:val="none"/>
        </w:rPr>
        <w:t>衢州市阳光交易服务平台技术支持电话：</w:t>
      </w:r>
      <w:r>
        <w:rPr>
          <w:rFonts w:ascii="仿宋" w:hAnsi="仿宋" w:eastAsia="仿宋" w:cs="仿宋"/>
          <w:b/>
          <w:bCs/>
          <w:color w:val="auto"/>
          <w:sz w:val="24"/>
          <w:szCs w:val="24"/>
          <w:highlight w:val="none"/>
          <w:lang w:val="en-US"/>
        </w:rPr>
        <w:t>0512-58188591</w:t>
      </w:r>
      <w:r>
        <w:rPr>
          <w:rFonts w:hint="eastAsia" w:ascii="仿宋" w:hAnsi="仿宋" w:eastAsia="仿宋" w:cs="仿宋"/>
          <w:b/>
          <w:bCs/>
          <w:color w:val="auto"/>
          <w:sz w:val="24"/>
          <w:szCs w:val="24"/>
          <w:highlight w:val="none"/>
          <w:lang w:val="zh-CN"/>
        </w:rPr>
        <w:t>、</w:t>
      </w:r>
      <w:r>
        <w:rPr>
          <w:rFonts w:ascii="仿宋" w:hAnsi="仿宋" w:eastAsia="仿宋" w:cs="仿宋"/>
          <w:b/>
          <w:bCs/>
          <w:color w:val="auto"/>
          <w:sz w:val="24"/>
          <w:szCs w:val="24"/>
          <w:highlight w:val="none"/>
          <w:lang w:val="en-US"/>
        </w:rPr>
        <w:t>0570-3878007</w:t>
      </w:r>
      <w:r>
        <w:rPr>
          <w:rFonts w:hint="eastAsia" w:ascii="仿宋" w:hAnsi="仿宋" w:eastAsia="仿宋" w:cs="仿宋"/>
          <w:b/>
          <w:bCs/>
          <w:color w:val="auto"/>
          <w:sz w:val="24"/>
          <w:szCs w:val="24"/>
          <w:highlight w:val="none"/>
          <w:lang w:val="zh-CN"/>
        </w:rPr>
        <w:t>。</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供应商使用生成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文件的介质CA锁解密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⑷</w:t>
      </w:r>
      <w:r>
        <w:rPr>
          <w:rFonts w:hint="eastAsia" w:ascii="仿宋" w:hAnsi="仿宋" w:eastAsia="仿宋" w:cs="仿宋"/>
          <w:bCs/>
          <w:color w:val="auto"/>
          <w:sz w:val="24"/>
          <w:szCs w:val="24"/>
          <w:highlight w:val="none"/>
        </w:rPr>
        <w:fldChar w:fldCharType="end"/>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文件解密完成后，开标系统公布供应商名称、解密时间、最终解密状态等内容。</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5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⑸</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进入</w:t>
      </w:r>
      <w:r>
        <w:rPr>
          <w:rFonts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rPr>
        <w:t>环节，首先对解密成功的供应商进行资格审查，然后对通过资格审查的供应商进行技术文件评审，最后进行报价评分。</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6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⑹</w:t>
      </w:r>
      <w:r>
        <w:rPr>
          <w:rFonts w:hint="eastAsia" w:ascii="仿宋" w:hAnsi="仿宋" w:eastAsia="仿宋" w:cs="仿宋"/>
          <w:bCs/>
          <w:color w:val="auto"/>
          <w:sz w:val="24"/>
          <w:szCs w:val="24"/>
          <w:highlight w:val="none"/>
        </w:rPr>
        <w:fldChar w:fldCharType="end"/>
      </w:r>
      <w:r>
        <w:rPr>
          <w:rFonts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rPr>
        <w:t>结束后，采购代理机构宣布成交供应商。采购代理机构宣布开标会议结束。</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3.开标特别说明：</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开标解密使用供应商上传的电子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因供应商原因（包括供应商自主选择的介质CA锁、投标工具等），造成其电子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文件未解密的，或</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文件解密了，但</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文件无法识别、读取的，视为撤销其</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部分供应商的电子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文件无法解密（识别、读取）的，其他</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文件的开标可以继续进行。</w:t>
      </w:r>
    </w:p>
    <w:p>
      <w:pPr>
        <w:pStyle w:val="63"/>
        <w:spacing w:after="0"/>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highlight w:val="none"/>
        </w:rPr>
        <w:t>⑷</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供应商必须使用生成电子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文件的介质CA锁解密电子</w:t>
      </w:r>
      <w:r>
        <w:rPr>
          <w:rFonts w:ascii="仿宋" w:hAnsi="仿宋" w:eastAsia="仿宋" w:cs="仿宋"/>
          <w:bCs/>
          <w:color w:val="auto"/>
          <w:sz w:val="24"/>
          <w:szCs w:val="24"/>
          <w:highlight w:val="none"/>
        </w:rPr>
        <w:t>响应</w:t>
      </w:r>
      <w:r>
        <w:rPr>
          <w:rFonts w:hint="eastAsia" w:ascii="仿宋" w:hAnsi="仿宋" w:eastAsia="仿宋" w:cs="仿宋"/>
          <w:bCs/>
          <w:color w:val="auto"/>
          <w:sz w:val="24"/>
          <w:szCs w:val="24"/>
          <w:highlight w:val="none"/>
        </w:rPr>
        <w:t>文件。</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五、供应商资格审查</w:t>
      </w:r>
      <w:bookmarkEnd w:id="22"/>
      <w:bookmarkEnd w:id="23"/>
      <w:bookmarkEnd w:id="24"/>
      <w:bookmarkEnd w:id="25"/>
      <w:bookmarkEnd w:id="26"/>
      <w:bookmarkEnd w:id="27"/>
    </w:p>
    <w:p>
      <w:pPr>
        <w:pStyle w:val="63"/>
        <w:spacing w:after="0"/>
        <w:ind w:firstLine="560"/>
        <w:jc w:val="left"/>
        <w:rPr>
          <w:rFonts w:ascii="仿宋" w:hAnsi="仿宋" w:eastAsia="仿宋" w:cs="仿宋_GB2312"/>
          <w:bCs/>
          <w:color w:val="auto"/>
          <w:sz w:val="24"/>
          <w:szCs w:val="24"/>
          <w:highlight w:val="none"/>
        </w:rPr>
      </w:pPr>
      <w:bookmarkStart w:id="28" w:name="OLE_LINK2"/>
      <w:r>
        <w:rPr>
          <w:rFonts w:hint="eastAsia" w:ascii="仿宋" w:hAnsi="仿宋" w:eastAsia="仿宋" w:cs="仿宋_GB2312"/>
          <w:bCs/>
          <w:color w:val="auto"/>
          <w:sz w:val="24"/>
          <w:szCs w:val="24"/>
          <w:highlight w:val="none"/>
        </w:rPr>
        <w:t>1.首先依法对各供应商的资格进行审查，审查各供应商的资格是否满足磋商文件的要求。审查人员对供应商所提交的资格证明材料仅负审核的责任。如发现供应商所提交的资格证明材料不合法或与事实不符，采购人可取消其成交资格并追究供应商的法律责任。</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2.供应商提交的资格证明材料无法证明其符合磋商文件规定的“供应商资格要求”的，将对其做资格审查不通过处理（无效</w:t>
      </w:r>
      <w:r>
        <w:rPr>
          <w:rFonts w:hint="eastAsia" w:ascii="仿宋" w:hAnsi="仿宋" w:eastAsia="仿宋" w:cs="仿宋"/>
          <w:color w:val="auto"/>
          <w:sz w:val="24"/>
          <w:szCs w:val="24"/>
          <w:highlight w:val="none"/>
        </w:rPr>
        <w:t>响应</w:t>
      </w:r>
      <w:r>
        <w:rPr>
          <w:rFonts w:hint="eastAsia" w:ascii="仿宋" w:hAnsi="仿宋" w:eastAsia="仿宋" w:cs="仿宋_GB2312"/>
          <w:bCs/>
          <w:color w:val="auto"/>
          <w:sz w:val="24"/>
          <w:szCs w:val="24"/>
          <w:highlight w:val="none"/>
        </w:rPr>
        <w:t>），并不再将其</w:t>
      </w:r>
      <w:r>
        <w:rPr>
          <w:rFonts w:hint="eastAsia" w:ascii="仿宋" w:hAnsi="仿宋" w:eastAsia="仿宋" w:cs="仿宋"/>
          <w:color w:val="auto"/>
          <w:sz w:val="24"/>
          <w:szCs w:val="24"/>
          <w:highlight w:val="none"/>
        </w:rPr>
        <w:t>响应</w:t>
      </w:r>
      <w:r>
        <w:rPr>
          <w:rFonts w:hint="eastAsia" w:ascii="仿宋" w:hAnsi="仿宋" w:eastAsia="仿宋" w:cs="仿宋_GB2312"/>
          <w:bCs/>
          <w:color w:val="auto"/>
          <w:sz w:val="24"/>
          <w:szCs w:val="24"/>
          <w:highlight w:val="none"/>
        </w:rPr>
        <w:t>进行后续</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3.单位负责人为同一人或者存在直接控股、管理关系的不同供应商参加同一合同项下的采购活动的，相关供应商均作资格无效处理。</w:t>
      </w:r>
      <w:bookmarkEnd w:id="28"/>
    </w:p>
    <w:p>
      <w:pPr>
        <w:pStyle w:val="63"/>
        <w:spacing w:after="0"/>
        <w:ind w:firstLine="560"/>
        <w:jc w:val="left"/>
        <w:outlineLvl w:val="1"/>
        <w:rPr>
          <w:rFonts w:ascii="仿宋" w:hAnsi="仿宋" w:eastAsia="仿宋" w:cs="仿宋_GB2312"/>
          <w:b/>
          <w:color w:val="auto"/>
          <w:sz w:val="24"/>
          <w:szCs w:val="24"/>
          <w:highlight w:val="none"/>
        </w:rPr>
      </w:pPr>
      <w:bookmarkStart w:id="29" w:name="_Toc22177"/>
      <w:bookmarkStart w:id="30" w:name="_Toc22675"/>
      <w:bookmarkStart w:id="31" w:name="_Toc8246"/>
      <w:bookmarkStart w:id="32" w:name="_Toc11547"/>
      <w:r>
        <w:rPr>
          <w:rFonts w:hint="eastAsia" w:ascii="仿宋" w:hAnsi="仿宋" w:eastAsia="仿宋" w:cs="仿宋_GB2312"/>
          <w:b/>
          <w:color w:val="auto"/>
          <w:sz w:val="24"/>
          <w:szCs w:val="24"/>
          <w:highlight w:val="none"/>
        </w:rPr>
        <w:t>六、开标要求</w:t>
      </w:r>
    </w:p>
    <w:p>
      <w:pPr>
        <w:pStyle w:val="63"/>
        <w:spacing w:after="0"/>
        <w:ind w:firstLine="560"/>
        <w:jc w:val="left"/>
        <w:rPr>
          <w:rFonts w:hint="eastAsia" w:ascii="仿宋" w:hAnsi="仿宋" w:eastAsia="仿宋" w:cs="仿宋_GB2312"/>
          <w:bCs/>
          <w:color w:val="auto"/>
          <w:sz w:val="24"/>
          <w:szCs w:val="24"/>
          <w:highlight w:val="none"/>
          <w:lang w:val="zh-CN"/>
        </w:rPr>
      </w:pPr>
      <w:r>
        <w:rPr>
          <w:rFonts w:hint="eastAsia" w:ascii="仿宋" w:hAnsi="仿宋" w:eastAsia="仿宋" w:cs="仿宋_GB2312"/>
          <w:bCs/>
          <w:color w:val="auto"/>
          <w:sz w:val="24"/>
          <w:szCs w:val="24"/>
          <w:highlight w:val="none"/>
          <w:lang w:val="zh-CN"/>
        </w:rPr>
        <w:t>当出现磋商响应文件递交截止后供应商不足三家的情况时，应严格按照国家财政部及浙江省财政厅有关规章制度进行处理。</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七、磋商程序</w:t>
      </w:r>
      <w:bookmarkEnd w:id="29"/>
      <w:bookmarkEnd w:id="30"/>
      <w:bookmarkEnd w:id="31"/>
      <w:bookmarkEnd w:id="32"/>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1.磋商小组审核</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1.1磋商小组按照供应商资格、技术商务逐项审核</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1.2依据竞争性磋商文件的规定，从</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文件的有效性、完整性和对竞争性</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文件的响应程度进行审查，以确定供应商是否对磋商文件的实质性要求作出响应。</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2.磋商方法</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2.1按磋商项目内容与各供应商可能进行2-3轮磋商。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2.2供应商必须派授权代表远程参与磋商活动，并保证其授权代表电话畅通、网络在线。在代理机构电话通知磋商结果前必须确保授权代理始终在线，磋商过程中的澄清及报价等工作将以网络形式进行。如因供应商的通信或网络原因造成的磋商失误，责任由供应商自行承担。</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2.3磋商小组所有成员集中与单一供应商分别进行磋商。磋商的内容可能涉及服务要求、实施方案、价格、售后服务、合同草案，采购人的权利和义务、履约期限和方式、资金支付要求、验收标准等。</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供应商所做的重要答复均应以发送电子邮件形式进行补充，作为</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文件的一部分，对供应商有约束力。在磋商中，磋商的任何一方不得透露与磋商有关的其他供应商的技术资料、价格和其他信息。</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3.磋商小组汇总并讨论审核情况，确定供应商是否继续进行磋商。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4.磋商小组在磋商结束后，要求所有继续参加磋商的供应商在规定时间内提交最后报价。超过规定时间提交的报价作无效处理（报价以网络形式进行）。已提交</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文件的供应商，在提交最后报价之前，可以根据磋商情况退出磋商。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5.磋商小组对提交最后报价的供应商的技术商务进行打分。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6.开标原则</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6.1采购人按本磋商文件采购须知前附表规定的时间和地点开标，供应商未准时参加电子开标的，不得对采购相关人员、开标过程及结果提出异议。</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6.2开标时出现的无效</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文件，不予</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7.磋商小组</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7.1采购代理机构和采购人将根据采购货物或服务的特点依法组建磋商小组，磋商小组对</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文件进行审查、询标、评议和推荐成交供应商。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7.2在</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期间，若有需要供应商应派代表参加询标。</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8</w:t>
      </w:r>
      <w:bookmarkStart w:id="33" w:name="_Toc33194395"/>
      <w:bookmarkStart w:id="34" w:name="_Toc24550044"/>
      <w:r>
        <w:rPr>
          <w:rFonts w:hint="eastAsia" w:ascii="仿宋" w:hAnsi="仿宋" w:eastAsia="仿宋" w:cs="仿宋_GB2312"/>
          <w:bCs/>
          <w:color w:val="auto"/>
          <w:sz w:val="24"/>
          <w:szCs w:val="24"/>
          <w:highlight w:val="none"/>
        </w:rPr>
        <w:t>.</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流程及内容</w:t>
      </w:r>
      <w:bookmarkEnd w:id="33"/>
      <w:bookmarkEnd w:id="34"/>
    </w:p>
    <w:p>
      <w:pPr>
        <w:pStyle w:val="63"/>
        <w:spacing w:after="0"/>
        <w:ind w:firstLine="560"/>
        <w:jc w:val="left"/>
        <w:rPr>
          <w:rFonts w:ascii="仿宋" w:hAnsi="仿宋" w:eastAsia="仿宋" w:cs="仿宋_GB2312"/>
          <w:bCs/>
          <w:color w:val="auto"/>
          <w:kern w:val="2"/>
          <w:sz w:val="24"/>
          <w:szCs w:val="24"/>
          <w:highlight w:val="none"/>
        </w:rPr>
      </w:pPr>
      <w:r>
        <w:rPr>
          <w:rFonts w:hint="eastAsia" w:ascii="仿宋" w:hAnsi="仿宋" w:eastAsia="仿宋" w:cs="仿宋_GB2312"/>
          <w:bCs/>
          <w:color w:val="auto"/>
          <w:kern w:val="2"/>
          <w:sz w:val="24"/>
          <w:szCs w:val="24"/>
          <w:highlight w:val="none"/>
        </w:rPr>
        <w:t>本项目具体的</w:t>
      </w:r>
      <w:r>
        <w:rPr>
          <w:rFonts w:ascii="仿宋" w:hAnsi="仿宋" w:eastAsia="仿宋" w:cs="仿宋_GB2312"/>
          <w:bCs/>
          <w:color w:val="auto"/>
          <w:kern w:val="2"/>
          <w:sz w:val="24"/>
          <w:szCs w:val="24"/>
          <w:highlight w:val="none"/>
        </w:rPr>
        <w:t>评审</w:t>
      </w:r>
      <w:r>
        <w:rPr>
          <w:rFonts w:hint="eastAsia" w:ascii="仿宋" w:hAnsi="仿宋" w:eastAsia="仿宋" w:cs="仿宋_GB2312"/>
          <w:bCs/>
          <w:color w:val="auto"/>
          <w:kern w:val="2"/>
          <w:sz w:val="24"/>
          <w:szCs w:val="24"/>
          <w:highlight w:val="none"/>
        </w:rPr>
        <w:t>事务由磋商小组负责，</w:t>
      </w:r>
      <w:r>
        <w:rPr>
          <w:rFonts w:ascii="仿宋" w:hAnsi="仿宋" w:eastAsia="仿宋" w:cs="仿宋_GB2312"/>
          <w:bCs/>
          <w:color w:val="auto"/>
          <w:kern w:val="2"/>
          <w:sz w:val="24"/>
          <w:szCs w:val="24"/>
          <w:highlight w:val="none"/>
        </w:rPr>
        <w:t>评审</w:t>
      </w:r>
      <w:r>
        <w:rPr>
          <w:rFonts w:hint="eastAsia" w:ascii="仿宋" w:hAnsi="仿宋" w:eastAsia="仿宋" w:cs="仿宋_GB2312"/>
          <w:bCs/>
          <w:color w:val="auto"/>
          <w:kern w:val="2"/>
          <w:sz w:val="24"/>
          <w:szCs w:val="24"/>
          <w:highlight w:val="none"/>
        </w:rPr>
        <w:t>流程及内容如下：</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8.1</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前准备</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8.1.1由</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专家推选磋商小组组长，采购人代表不得以评审专家身份参加本部门或本单位采购项目的评审。</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8.1.2由磋商小组组长（磋商小组主任委员）召集所有评委成员阅读磋商文件及相关补充、质疑、答复文件、项目书面说明等材料，熟悉采购项目基本情况、项目技术规范和服务要求、合同主要条款、</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文件无效情形、</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办法、</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标准，以及其他与</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有关的内容。</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9.</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文件的初步审查、符合性审查</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对所有通过资格审查的供应商的</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文件进行初步审查，审查、评价</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文件是否符合磋商文件的商务、技术、服务等实质性要求。</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9.1磋商小组首先对所有通过资格审查的供应商的</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文件进行符合性审查，审查每份</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文件是否实质上响应了磋商文件的要求（实质性响应的</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文件是指</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文件符合磋商文件规定的实质性内容、条件和规定）。</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10.</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文件的澄清、说明或补正</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10.1对于</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中含义不明确、同类问题表述不一致或者有明显文字和计算错误的内容，磋商小组将以书面形式（或通过“衢州市阳光交易服务平台”在线询标）的形式要求供应商在规定的时间内作出必要的澄清、说明或者补正，供应商澄清、说明或补正时间为30分钟。</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10.2供应商的澄清、说明或者补正应当采用书面（或通过“衢州市阳光交易服务平台”在线答复）形式提交，并加盖公章，或者由法定代表人（负责人）或其授权的代表签字。供应商的澄清、说明或者补正不得超出</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文件的范围或者改变</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文件的实质性内容。</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
          <w:color w:val="auto"/>
          <w:sz w:val="24"/>
          <w:szCs w:val="24"/>
          <w:highlight w:val="none"/>
        </w:rPr>
        <w:t>11.在对各供应商的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文件进行综合评审时有下列情况之一的，经磋商小组认定后按无效标处理：</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11.1不具备磋商文件规定的资格要求；</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11.2获取磋商文件的供应商与参加开标供应商发生实质性变更的且未提供有效证明的；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11.3在“资格审查文件”“技术商务文件”中出现报价的；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11.4磋商文件中有▲处条款供应商未做实质性响应的；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11.5提供虚假材料谋取成交的；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11.6报价</w:t>
      </w:r>
      <w:r>
        <w:rPr>
          <w:rFonts w:hint="eastAsia" w:ascii="仿宋" w:hAnsi="仿宋" w:eastAsia="仿宋" w:cs="仿宋_GB2312"/>
          <w:b/>
          <w:color w:val="auto"/>
          <w:sz w:val="24"/>
          <w:szCs w:val="24"/>
          <w:highlight w:val="none"/>
          <w:lang w:val="en-US" w:eastAsia="zh-CN"/>
        </w:rPr>
        <w:t>不符合磋商文件要求</w:t>
      </w:r>
      <w:r>
        <w:rPr>
          <w:rFonts w:hint="eastAsia" w:ascii="仿宋" w:hAnsi="仿宋" w:eastAsia="仿宋" w:cs="仿宋_GB2312"/>
          <w:b/>
          <w:color w:val="auto"/>
          <w:sz w:val="24"/>
          <w:szCs w:val="24"/>
          <w:highlight w:val="none"/>
        </w:rPr>
        <w:t>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11.7资格证明文件不全的，或者不符合磋商文件标明的资格要求的；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11.8供应商在报价计算或表达上有错误时，供应商不接受修正后报价的；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11.9明显不符合磋商文件中主要技术规格、技术标准的（例如关于“▲”条款及特别说明的）；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11.10磋商文件含有采购人不能接受的附件条件的；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11.11磋商文件载明的采购项目完成期限超过了采购项目文件规定的期限；</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11.12供应商有串标行为或明显串标嫌疑的；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11.13</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文件未按磋商文件要求加盖供应商单位公章、无法定代表人（负责人）签字、盖章或其授权代表签字、盖章的；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11.14</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文件内容不全或关键字迹模糊无法辨认的；</w:t>
      </w:r>
    </w:p>
    <w:p>
      <w:pPr>
        <w:pStyle w:val="63"/>
        <w:spacing w:after="0"/>
        <w:ind w:firstLine="560"/>
        <w:jc w:val="left"/>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11.15不符合法律法规和磋商文件规定的其他实质性要求的。</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 串通响应的情形</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12.1不同供应商的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文件由同一单位或者个人编制；</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12.2不同供应商委托同一单位或者个人办理响应事宜；</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12.3不同供应商的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文件载明的项目管理成员或者联系人员为同一人；</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12.4不同供应商的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文件异常一致或者响应报价呈规律性差异；</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12.5不同供应商的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文件相互混装；</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
          <w:color w:val="auto"/>
          <w:sz w:val="24"/>
          <w:szCs w:val="24"/>
          <w:highlight w:val="none"/>
        </w:rPr>
        <w:t>12.6不同供应商的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文件制作机器码或创建标识码一致的（</w:t>
      </w:r>
      <w:r>
        <w:rPr>
          <w:rFonts w:ascii="仿宋" w:hAnsi="仿宋" w:eastAsia="仿宋" w:cs="仿宋_GB2312"/>
          <w:b/>
          <w:color w:val="auto"/>
          <w:sz w:val="24"/>
          <w:szCs w:val="24"/>
          <w:highlight w:val="none"/>
        </w:rPr>
        <w:t>响应</w:t>
      </w:r>
      <w:r>
        <w:rPr>
          <w:rFonts w:hint="eastAsia" w:ascii="仿宋" w:hAnsi="仿宋" w:eastAsia="仿宋" w:cs="仿宋_GB2312"/>
          <w:b/>
          <w:color w:val="auto"/>
          <w:sz w:val="24"/>
          <w:szCs w:val="24"/>
          <w:highlight w:val="none"/>
        </w:rPr>
        <w:t>文件制作机器码一致是指MAC地址、CPU序列号、硬盘序列号、主板序列号全部一致或制作IP地址、上传IP地址等与此电脑相关的硬件标识号码中有一个一致）。</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13.</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文件的错误修正</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13.1</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文件中磋商报价一览表内容计算上的错误，可按下面方法修改：</w:t>
      </w:r>
    </w:p>
    <w:p>
      <w:pPr>
        <w:pStyle w:val="63"/>
        <w:spacing w:after="0"/>
        <w:ind w:firstLine="56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 1 \* GB2 \* MERGEFORMAT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highlight w:val="none"/>
        </w:rPr>
        <w:t>⑴</w:t>
      </w:r>
      <w:r>
        <w:rPr>
          <w:rFonts w:hint="eastAsia" w:ascii="仿宋" w:hAnsi="仿宋" w:eastAsia="仿宋" w:cs="仿宋"/>
          <w:b/>
          <w:bCs/>
          <w:color w:val="auto"/>
          <w:sz w:val="24"/>
          <w:szCs w:val="24"/>
          <w:highlight w:val="none"/>
        </w:rPr>
        <w:fldChar w:fldCharType="end"/>
      </w:r>
      <w:r>
        <w:rPr>
          <w:rFonts w:ascii="仿宋" w:hAnsi="仿宋" w:eastAsia="仿宋" w:cs="仿宋"/>
          <w:b/>
          <w:bCs/>
          <w:color w:val="auto"/>
          <w:sz w:val="24"/>
          <w:szCs w:val="24"/>
          <w:highlight w:val="none"/>
        </w:rPr>
        <w:t>响应</w:t>
      </w:r>
      <w:r>
        <w:rPr>
          <w:rFonts w:hint="eastAsia" w:ascii="仿宋" w:hAnsi="仿宋" w:eastAsia="仿宋" w:cs="仿宋"/>
          <w:b/>
          <w:bCs/>
          <w:color w:val="auto"/>
          <w:sz w:val="24"/>
          <w:szCs w:val="24"/>
          <w:highlight w:val="none"/>
        </w:rPr>
        <w:t>文件的大写金额与小写金额不一致的以大写金额为准。</w:t>
      </w:r>
    </w:p>
    <w:p>
      <w:pPr>
        <w:pStyle w:val="63"/>
        <w:spacing w:after="0"/>
        <w:ind w:firstLine="56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 2 \* GB2 \* MERGEFORMAT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highlight w:val="none"/>
        </w:rPr>
        <w:t>⑵</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单价金额小数点或百分比有明显错位的，以开标一览表的总价为准，并修改单价。</w:t>
      </w:r>
    </w:p>
    <w:p>
      <w:pPr>
        <w:pStyle w:val="63"/>
        <w:spacing w:after="0"/>
        <w:ind w:firstLine="56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 3 \* GB2 \* MERGEFORMAT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highlight w:val="none"/>
        </w:rPr>
        <w:t>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总价金额与按单价汇总金额不一致的，以单价金额计算结果为准；同时出现两种以上不一致的，按照前款规定的顺序修正，修正后的报价应经供应商书面确认，供应商不予确认的，其响应无效。</w:t>
      </w:r>
    </w:p>
    <w:p>
      <w:pPr>
        <w:pStyle w:val="63"/>
        <w:spacing w:after="0"/>
        <w:ind w:firstLine="56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 4 \* GB2 \* MERGEFORMAT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highlight w:val="none"/>
        </w:rPr>
        <w:t>⑷</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如果供应商不接受对其价格错误进行修正，其磋商响应将被拒绝。</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13.2对不同文字文本《</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文件》的解释发生异议的，以中文文本为准。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14.</w:t>
      </w:r>
      <w:r>
        <w:rPr>
          <w:rFonts w:ascii="仿宋" w:hAnsi="仿宋" w:eastAsia="仿宋" w:cs="仿宋_GB2312"/>
          <w:bCs/>
          <w:color w:val="auto"/>
          <w:sz w:val="24"/>
          <w:szCs w:val="24"/>
          <w:highlight w:val="none"/>
        </w:rPr>
        <w:t>评审</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14.1评定原则：根据符合采购需求、质量和服务等要求，综合</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确定成交供应商。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14.2磋商文件的澄清：在</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期间， 磋商小组可要求供应商对其</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文件进行澄清，但不得寻求、提供或允许对响应价格等实质性内容做任何更改。有关澄清的要求和答复均应以书面形式提交。</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14.3</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报告：磋商小组完成评定后，向采购人提交经各磋商小组成员签字的评定结果报告，并按评定办法推荐成交供应商。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15.可中止电子交易活动的情形</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采购过程中出现以下情形，导致电子交易平台无法正常运行，或者无法保证电子交易的公平、公正和安全时，采购组织机构可中止电子交易活动：</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15.1电子交易平台发生故障而无法登录访问的；</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15.2电子交易平台应用或数据库出现错误，不能进行正常操作的；</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15.3电子交易平台发现严重安全漏洞，有潜在泄密危险的；</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15.4病毒发作导致不能进行正常操作的；</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15.5其他无法保证电子交易的公平、公正和安全的情况。</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出现前款规定情形，不影响采购公平、公正性的，采购组织机构可以待上述情形消除后继续组织电子交易活动；影响或可能影响采购公平、公正性的，应当重新采购。</w:t>
      </w:r>
    </w:p>
    <w:p>
      <w:pPr>
        <w:pStyle w:val="63"/>
        <w:spacing w:after="0"/>
        <w:ind w:firstLine="560"/>
        <w:jc w:val="left"/>
        <w:rPr>
          <w:color w:val="auto"/>
          <w:highlight w:val="none"/>
        </w:rPr>
      </w:pPr>
      <w:r>
        <w:rPr>
          <w:rFonts w:hint="eastAsia" w:ascii="仿宋" w:hAnsi="仿宋" w:eastAsia="仿宋" w:cs="仿宋_GB2312"/>
          <w:bCs/>
          <w:color w:val="auto"/>
          <w:sz w:val="24"/>
          <w:szCs w:val="24"/>
          <w:highlight w:val="none"/>
        </w:rPr>
        <w:t>16.保密</w:t>
      </w:r>
    </w:p>
    <w:p>
      <w:pPr>
        <w:pStyle w:val="63"/>
        <w:spacing w:after="0"/>
        <w:ind w:firstLine="560"/>
        <w:jc w:val="both"/>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16.1公开开标后直到宣布授予成交供应商合同为止，凡属于审查、澄清、评估和比较</w:t>
      </w:r>
      <w:r>
        <w:rPr>
          <w:rFonts w:hint="eastAsia" w:ascii="仿宋" w:hAnsi="仿宋" w:eastAsia="仿宋" w:cs="仿宋_GB2312"/>
          <w:color w:val="auto"/>
          <w:sz w:val="24"/>
          <w:szCs w:val="24"/>
          <w:highlight w:val="none"/>
        </w:rPr>
        <w:t>响应</w:t>
      </w:r>
      <w:r>
        <w:rPr>
          <w:rFonts w:hint="eastAsia" w:ascii="仿宋" w:hAnsi="仿宋" w:eastAsia="仿宋" w:cs="仿宋_GB2312"/>
          <w:bCs/>
          <w:color w:val="auto"/>
          <w:sz w:val="24"/>
          <w:szCs w:val="24"/>
          <w:highlight w:val="none"/>
        </w:rPr>
        <w:t>的有关资料且与授予合同有关的信息都不得向任何供应商或与上述</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过程无关的人员透露。</w:t>
      </w:r>
    </w:p>
    <w:p>
      <w:pPr>
        <w:pStyle w:val="63"/>
        <w:spacing w:after="0"/>
        <w:ind w:firstLine="560"/>
        <w:jc w:val="both"/>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16.2供应商对</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、比较或授予合同决定的过程施加影响的企图和行为，都可能导致其</w:t>
      </w:r>
      <w:r>
        <w:rPr>
          <w:rFonts w:hint="eastAsia" w:ascii="仿宋" w:hAnsi="仿宋" w:eastAsia="仿宋" w:cs="仿宋_GB2312"/>
          <w:color w:val="auto"/>
          <w:sz w:val="24"/>
          <w:szCs w:val="24"/>
          <w:highlight w:val="none"/>
        </w:rPr>
        <w:t>响应</w:t>
      </w:r>
      <w:r>
        <w:rPr>
          <w:rFonts w:hint="eastAsia" w:ascii="仿宋" w:hAnsi="仿宋" w:eastAsia="仿宋" w:cs="仿宋_GB2312"/>
          <w:bCs/>
          <w:color w:val="auto"/>
          <w:sz w:val="24"/>
          <w:szCs w:val="24"/>
          <w:highlight w:val="none"/>
        </w:rPr>
        <w:t>被拒绝。</w:t>
      </w:r>
    </w:p>
    <w:p>
      <w:pPr>
        <w:pStyle w:val="63"/>
        <w:spacing w:after="0"/>
        <w:ind w:firstLine="560"/>
        <w:jc w:val="left"/>
        <w:outlineLvl w:val="1"/>
        <w:rPr>
          <w:rFonts w:ascii="仿宋" w:hAnsi="仿宋" w:eastAsia="仿宋" w:cs="仿宋_GB2312"/>
          <w:b/>
          <w:color w:val="auto"/>
          <w:sz w:val="24"/>
          <w:szCs w:val="24"/>
          <w:highlight w:val="none"/>
        </w:rPr>
      </w:pPr>
      <w:bookmarkStart w:id="35" w:name="_Toc16478"/>
      <w:bookmarkStart w:id="36" w:name="_Toc7982"/>
      <w:bookmarkStart w:id="37" w:name="_Toc20890"/>
      <w:bookmarkStart w:id="38" w:name="_Toc11583"/>
      <w:r>
        <w:rPr>
          <w:rFonts w:hint="eastAsia" w:ascii="仿宋" w:hAnsi="仿宋" w:eastAsia="仿宋" w:cs="仿宋_GB2312"/>
          <w:b/>
          <w:color w:val="auto"/>
          <w:sz w:val="24"/>
          <w:szCs w:val="24"/>
          <w:highlight w:val="none"/>
        </w:rPr>
        <w:t>八、成交结果公告</w:t>
      </w:r>
      <w:bookmarkEnd w:id="35"/>
      <w:bookmarkEnd w:id="36"/>
      <w:bookmarkEnd w:id="37"/>
      <w:bookmarkEnd w:id="38"/>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1.成交结果公告</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1.1确定成交供应商后，采购人在</w:t>
      </w:r>
      <w:r>
        <w:rPr>
          <w:rFonts w:hint="eastAsia" w:ascii="仿宋" w:hAnsi="仿宋" w:eastAsia="仿宋" w:cs="仿宋"/>
          <w:color w:val="auto"/>
          <w:sz w:val="24"/>
          <w:szCs w:val="24"/>
          <w:highlight w:val="none"/>
        </w:rPr>
        <w:t>阳光交易服务平台https://qzygjy.com/</w:t>
      </w:r>
      <w:r>
        <w:rPr>
          <w:rFonts w:hint="eastAsia" w:ascii="仿宋" w:hAnsi="仿宋" w:eastAsia="仿宋" w:cs="仿宋"/>
          <w:color w:val="auto"/>
          <w:sz w:val="24"/>
          <w:szCs w:val="24"/>
          <w:highlight w:val="none"/>
          <w:lang w:eastAsia="zh-CN"/>
        </w:rPr>
        <w:t>、浙江政府采购网https://zfcg.czt.zj.gov.cn/、衢州学院信息公开网https://xxgk.qzc.edu.cn、衢州学院招标采购网https://zbcg.qzc.edu.cn</w:t>
      </w:r>
      <w:r>
        <w:rPr>
          <w:rFonts w:hint="eastAsia" w:ascii="仿宋" w:hAnsi="仿宋" w:eastAsia="仿宋" w:cs="仿宋_GB2312"/>
          <w:bCs/>
          <w:color w:val="auto"/>
          <w:sz w:val="24"/>
          <w:szCs w:val="24"/>
          <w:highlight w:val="none"/>
        </w:rPr>
        <w:t>上，进行成交结果公告，公告期限为1个工作日。</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1.2成交供应商因自身原因放弃成交或因不可抗力不能履行合同的，经质疑，采购人审查确定因成交供应商在本次采购活动中存在违规行为或其他原因使质疑成立的，采购人可以与排位在成交供应商之后的第二成交候选供应商签订采购合同或重新组织采购。</w:t>
      </w:r>
    </w:p>
    <w:p>
      <w:pPr>
        <w:pStyle w:val="63"/>
        <w:spacing w:after="0"/>
        <w:ind w:firstLine="56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九、质疑和投诉</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
          <w:color w:val="auto"/>
          <w:sz w:val="24"/>
          <w:szCs w:val="24"/>
          <w:highlight w:val="none"/>
          <w:lang w:val="en-US" w:eastAsia="zh-CN"/>
        </w:rPr>
        <w:t>参照</w:t>
      </w:r>
      <w:r>
        <w:rPr>
          <w:rFonts w:hint="eastAsia" w:ascii="仿宋" w:hAnsi="仿宋" w:eastAsia="仿宋"/>
          <w:bCs/>
          <w:color w:val="auto"/>
          <w:sz w:val="24"/>
          <w:highlight w:val="none"/>
        </w:rPr>
        <w:t>《中华人民共和国政府采购法》</w:t>
      </w:r>
      <w:r>
        <w:rPr>
          <w:rFonts w:hint="eastAsia" w:ascii="仿宋" w:hAnsi="仿宋" w:eastAsia="仿宋"/>
          <w:bCs/>
          <w:color w:val="auto"/>
          <w:sz w:val="24"/>
          <w:highlight w:val="none"/>
          <w:lang w:val="en-US" w:eastAsia="zh-CN"/>
        </w:rPr>
        <w:t>等</w:t>
      </w:r>
      <w:r>
        <w:rPr>
          <w:rFonts w:hint="eastAsia" w:ascii="仿宋" w:hAnsi="仿宋" w:eastAsia="仿宋" w:cs="仿宋_GB2312"/>
          <w:bCs/>
          <w:color w:val="auto"/>
          <w:sz w:val="24"/>
          <w:szCs w:val="24"/>
          <w:highlight w:val="none"/>
        </w:rPr>
        <w:t>的规定，供应商可以依法提起质疑和投诉。</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1.供应商询问</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供应商对采购活动事项有疑问的，可以向采购代理机构提出询问，采购代理机构在七个工作日内作出答复，但答复的内容不得涉及商业秘密。</w:t>
      </w:r>
    </w:p>
    <w:p>
      <w:pPr>
        <w:pStyle w:val="63"/>
        <w:wordWrap w:val="0"/>
        <w:spacing w:after="0"/>
        <w:ind w:firstLine="561"/>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2.供应商质疑</w:t>
      </w:r>
    </w:p>
    <w:p>
      <w:pPr>
        <w:pStyle w:val="63"/>
        <w:wordWrap w:val="0"/>
        <w:spacing w:after="0"/>
        <w:ind w:firstLine="561"/>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认为采购文件、采购过程和中标、成交结果使自己的权益受到损害的，可以在知道或者应知其权益受到损害之日起七个工作日内，向采购人和采购代理机构提出质疑。提交方式：登录衢州市阳光交易服务平台（https://qzygjy.com/bszn/sec.html）－发包公告－进入项目－异议－新增异议。逾期不予受理。</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供应商应知其权益受到损害之日，是指：</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⑴对可以质疑的采购文件提出质疑的，为收到采购文件之日或采购文件公告期限届满之日。</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⑵对采购过程提出质疑的，为各采购程序环节结束之日。</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⑶对成交结果提出质疑的，为成交结果公告期限届满之日。</w:t>
      </w:r>
    </w:p>
    <w:p>
      <w:pPr>
        <w:pStyle w:val="63"/>
        <w:wordWrap w:val="0"/>
        <w:spacing w:after="0"/>
        <w:ind w:firstLine="561"/>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质疑应当有明确的请求和必要的证明材料，否则视为无效质疑，不予受理。提交方式：登录衢州市阳光交易服务平台（https://qzygjy.com/bszn/sec.html）－发包公告－进入项目－异议－新增异议。质疑书至少应包括下列主要内容：</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⑴质疑人的名称、地址、邮政编码、联系人、联系电话，以及被质疑人名称及联系方式。</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⑵被质疑采购项目名称、编号及采购内容。</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⑶具体的质疑事项及事实依据。</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⑷认为自己合法权益受到损害或可能受到损害的相关证据材料。</w:t>
      </w:r>
    </w:p>
    <w:p>
      <w:pPr>
        <w:pStyle w:val="63"/>
        <w:spacing w:after="0"/>
        <w:ind w:firstLine="56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⑸提出质疑的日期。</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3.采购代理机构应当在收到供应商的书面质疑后七个工作日内作出答复，并以书面形式通知质疑供应商和其他与质疑处理结果有利害关系的采购当事人，但答复的内容不得涉及商业秘密。</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4.供应商投诉</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质疑人对采购代理机构的答复不满意或者采购代理机构未在规定的时间内作出答复的，可以在答复期满后十五个工作日内向采购人提出投诉，逾期不予受理。质疑人对采购人答复不满意的根据相关法律法规采取相关措施。</w:t>
      </w:r>
    </w:p>
    <w:p>
      <w:pPr>
        <w:pStyle w:val="63"/>
        <w:spacing w:after="0"/>
        <w:ind w:firstLine="482" w:firstLineChars="20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十、法律责任</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供应商有下列情形之一的，采购人及采购代理机构可上报有关行政部门，由行政部门作出相应处罚，列入不良行为记录名单，在一至三年内禁止参加采购活动，并予以公告，有违法所得的，并处没收违法所得，情节严重的，由工商行政管理机关吊销营业执照；构成犯罪的，依法追究刑事责任：</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⑴提供虚假材料谋取中标的。</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⑵采取不正当手段诋毁、排挤其他供应商的。</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⑶与采购人、采购代理机构、其他供应商恶意串通的。</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⑷向采购人、采购代理机构行贿或者提供其他不正当利益的。</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⑸在开标过程中与采购人进行协商谈判、不按照磋商文件和成交供应商的</w:t>
      </w:r>
      <w:r>
        <w:rPr>
          <w:rFonts w:ascii="仿宋" w:hAnsi="仿宋" w:eastAsia="仿宋" w:cs="仿宋_GB2312"/>
          <w:bCs/>
          <w:color w:val="auto"/>
          <w:sz w:val="24"/>
          <w:szCs w:val="24"/>
          <w:highlight w:val="none"/>
        </w:rPr>
        <w:t>响应</w:t>
      </w:r>
      <w:r>
        <w:rPr>
          <w:rFonts w:hint="eastAsia" w:ascii="仿宋" w:hAnsi="仿宋" w:eastAsia="仿宋" w:cs="仿宋_GB2312"/>
          <w:bCs/>
          <w:color w:val="auto"/>
          <w:sz w:val="24"/>
          <w:szCs w:val="24"/>
          <w:highlight w:val="none"/>
        </w:rPr>
        <w:t>文件订立合同，或者与采购人另行订立背离合同实质性内容的协议的。</w:t>
      </w:r>
    </w:p>
    <w:p>
      <w:pPr>
        <w:pStyle w:val="63"/>
        <w:spacing w:after="0"/>
        <w:ind w:firstLine="480" w:firstLineChars="200"/>
        <w:jc w:val="left"/>
        <w:outlineLvl w:val="1"/>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⑹拒绝有关部门监督检查或者提供虚假情况的。</w:t>
      </w:r>
    </w:p>
    <w:p>
      <w:pPr>
        <w:pStyle w:val="63"/>
        <w:spacing w:after="0"/>
        <w:ind w:firstLine="482" w:firstLineChars="200"/>
        <w:jc w:val="left"/>
        <w:outlineLvl w:val="1"/>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十一、授予合同签订资格</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1.成交通知书</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1.1在公告成交结果的同时，采购人或者采购代理机构应当向成交供应商发出成交通知书；对未通过资格审查的供应商，应当告知其未通过的原因；采用综合评分法</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的，还应当告知未成交供应商本人的</w:t>
      </w:r>
      <w:r>
        <w:rPr>
          <w:rFonts w:ascii="仿宋" w:hAnsi="仿宋" w:eastAsia="仿宋" w:cs="仿宋_GB2312"/>
          <w:bCs/>
          <w:color w:val="auto"/>
          <w:sz w:val="24"/>
          <w:szCs w:val="24"/>
          <w:highlight w:val="none"/>
        </w:rPr>
        <w:t>评审</w:t>
      </w:r>
      <w:r>
        <w:rPr>
          <w:rFonts w:hint="eastAsia" w:ascii="仿宋" w:hAnsi="仿宋" w:eastAsia="仿宋" w:cs="仿宋_GB2312"/>
          <w:bCs/>
          <w:color w:val="auto"/>
          <w:sz w:val="24"/>
          <w:szCs w:val="24"/>
          <w:highlight w:val="none"/>
        </w:rPr>
        <w:t>得分与排序。</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1.2成交通知书是与采购人签订合同的凭证，是授予合同签订资格的合法依据。</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1.3成交通知书发出后，采购人不得违法改变成交结果，成交供应商无正当理由不得放弃成交。</w:t>
      </w:r>
    </w:p>
    <w:p>
      <w:pPr>
        <w:pStyle w:val="63"/>
        <w:spacing w:after="0"/>
        <w:ind w:firstLine="480" w:firstLineChars="200"/>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2.合同的签订</w:t>
      </w:r>
    </w:p>
    <w:p>
      <w:pPr>
        <w:pStyle w:val="63"/>
        <w:spacing w:after="0"/>
        <w:ind w:firstLine="480" w:firstLineChars="20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2.1采购人应当自成交通知书发出之日起30日内，按照磋商文件和成交供应商递交的</w:t>
      </w:r>
      <w:r>
        <w:rPr>
          <w:rFonts w:ascii="仿宋" w:hAnsi="仿宋" w:eastAsia="仿宋" w:cs="仿宋"/>
          <w:bCs/>
          <w:color w:val="auto"/>
          <w:kern w:val="2"/>
          <w:sz w:val="24"/>
          <w:szCs w:val="24"/>
          <w:highlight w:val="none"/>
        </w:rPr>
        <w:t>响应</w:t>
      </w:r>
      <w:r>
        <w:rPr>
          <w:rFonts w:hint="eastAsia" w:ascii="仿宋" w:hAnsi="仿宋" w:eastAsia="仿宋" w:cs="仿宋"/>
          <w:bCs/>
          <w:color w:val="auto"/>
          <w:kern w:val="2"/>
          <w:sz w:val="24"/>
          <w:szCs w:val="24"/>
          <w:highlight w:val="none"/>
        </w:rPr>
        <w:t>文件的规定，与成交供应商签订书面合同。所签订的合同不得对磋商文件确定的事项和成交供应商</w:t>
      </w:r>
      <w:r>
        <w:rPr>
          <w:rFonts w:ascii="仿宋" w:hAnsi="仿宋" w:eastAsia="仿宋" w:cs="仿宋"/>
          <w:bCs/>
          <w:color w:val="auto"/>
          <w:kern w:val="2"/>
          <w:sz w:val="24"/>
          <w:szCs w:val="24"/>
          <w:highlight w:val="none"/>
        </w:rPr>
        <w:t>响应</w:t>
      </w:r>
      <w:r>
        <w:rPr>
          <w:rFonts w:hint="eastAsia" w:ascii="仿宋" w:hAnsi="仿宋" w:eastAsia="仿宋" w:cs="仿宋"/>
          <w:bCs/>
          <w:color w:val="auto"/>
          <w:kern w:val="2"/>
          <w:sz w:val="24"/>
          <w:szCs w:val="24"/>
          <w:highlight w:val="none"/>
        </w:rPr>
        <w:t>文件作实质性修改。</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2.2采购人不得向成交供应商提出任何不合理的要求作为签订合同的条件。</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2.3采购合同应当包括采购人与成交供应商的名称和住所、标的、数量、质量、价款或者报酬、履行期限及地点和方式、验收要求、违约责任、解决争议的方法等内容。</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2.4采购人与成交供应商应当根据合同的约定依法履行合同义务。</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2.5采购合同的履行、违约责任和解决争议的方法等适用《中华人民共和国民法典》。</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2.6成交供应商应当按照合同约定履行义务完成项目，不得将本项目的任何部分转包给他人。</w:t>
      </w:r>
    </w:p>
    <w:p>
      <w:pPr>
        <w:pStyle w:val="63"/>
        <w:spacing w:after="0"/>
        <w:ind w:firstLine="482" w:firstLineChars="200"/>
        <w:jc w:val="left"/>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bCs/>
          <w:color w:val="auto"/>
          <w:sz w:val="24"/>
          <w:szCs w:val="24"/>
          <w:highlight w:val="none"/>
        </w:rPr>
        <w:t>代理服务费及其他费用</w:t>
      </w:r>
    </w:p>
    <w:p>
      <w:pPr>
        <w:pStyle w:val="63"/>
        <w:spacing w:after="0"/>
        <w:ind w:firstLine="480" w:firstLineChars="200"/>
        <w:jc w:val="left"/>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3.1</w:t>
      </w:r>
      <w:r>
        <w:rPr>
          <w:rFonts w:hint="eastAsia" w:ascii="仿宋" w:hAnsi="仿宋" w:eastAsia="仿宋" w:cs="仿宋"/>
          <w:color w:val="auto"/>
          <w:sz w:val="24"/>
          <w:szCs w:val="24"/>
          <w:highlight w:val="none"/>
        </w:rPr>
        <w:t>本次采购代理服务费</w:t>
      </w:r>
      <w:r>
        <w:rPr>
          <w:rFonts w:hint="default" w:ascii="仿宋" w:hAnsi="仿宋" w:eastAsia="仿宋" w:cs="仿宋"/>
          <w:color w:val="auto"/>
          <w:sz w:val="24"/>
          <w:szCs w:val="24"/>
          <w:highlight w:val="none"/>
          <w:lang w:val="en-US" w:eastAsia="zh-CN"/>
        </w:rPr>
        <w:t>由</w:t>
      </w:r>
      <w:r>
        <w:rPr>
          <w:rFonts w:hint="eastAsia" w:ascii="仿宋" w:hAnsi="仿宋" w:eastAsia="仿宋" w:cs="仿宋"/>
          <w:color w:val="auto"/>
          <w:sz w:val="24"/>
          <w:szCs w:val="24"/>
          <w:highlight w:val="none"/>
        </w:rPr>
        <w:t>成交供应商</w:t>
      </w:r>
      <w:r>
        <w:rPr>
          <w:rFonts w:hint="eastAsia" w:ascii="仿宋" w:hAnsi="仿宋" w:eastAsia="仿宋" w:cs="仿宋"/>
          <w:color w:val="auto"/>
          <w:sz w:val="24"/>
          <w:szCs w:val="24"/>
          <w:highlight w:val="none"/>
          <w:lang w:val="zh-CN" w:eastAsia="zh-CN"/>
        </w:rPr>
        <w:t>在领取成交通知书前支付：</w:t>
      </w:r>
      <w:r>
        <w:rPr>
          <w:rFonts w:hint="eastAsia" w:ascii="仿宋" w:hAnsi="仿宋" w:eastAsia="仿宋" w:cs="仿宋"/>
          <w:color w:val="auto"/>
          <w:sz w:val="24"/>
          <w:szCs w:val="24"/>
          <w:highlight w:val="none"/>
          <w:lang w:val="en-US" w:eastAsia="zh-CN"/>
        </w:rPr>
        <w:t>招标代理费按《招标代理服务收费管理暂行办法》（计价格[2002]1980号）收费标准乘以</w:t>
      </w:r>
      <w:r>
        <w:rPr>
          <w:rFonts w:hint="eastAsia" w:ascii="仿宋" w:hAnsi="仿宋" w:eastAsia="仿宋" w:cs="仿宋"/>
          <w:color w:val="auto"/>
          <w:sz w:val="24"/>
          <w:szCs w:val="24"/>
          <w:highlight w:val="none"/>
          <w:lang w:val="zh-CN" w:eastAsia="zh-CN"/>
        </w:rPr>
        <w:t>折扣率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计取</w:t>
      </w:r>
      <w:r>
        <w:rPr>
          <w:rFonts w:hint="eastAsia" w:ascii="仿宋" w:hAnsi="仿宋" w:eastAsia="仿宋" w:cs="仿宋"/>
          <w:color w:val="auto"/>
          <w:sz w:val="24"/>
          <w:szCs w:val="24"/>
          <w:highlight w:val="none"/>
          <w:lang w:val="zh-CN" w:eastAsia="zh-CN"/>
        </w:rPr>
        <w:t>，采购代理服务费封顶价</w:t>
      </w:r>
      <w:r>
        <w:rPr>
          <w:rFonts w:hint="eastAsia" w:ascii="仿宋" w:hAnsi="仿宋" w:eastAsia="仿宋" w:cs="仿宋"/>
          <w:color w:val="auto"/>
          <w:sz w:val="24"/>
          <w:szCs w:val="24"/>
          <w:highlight w:val="none"/>
          <w:lang w:val="en-US" w:eastAsia="zh-CN"/>
        </w:rPr>
        <w:t>5000</w:t>
      </w:r>
      <w:r>
        <w:rPr>
          <w:rFonts w:hint="eastAsia" w:ascii="仿宋" w:hAnsi="仿宋" w:eastAsia="仿宋" w:cs="仿宋"/>
          <w:color w:val="auto"/>
          <w:sz w:val="24"/>
          <w:szCs w:val="24"/>
          <w:highlight w:val="none"/>
          <w:lang w:val="zh-CN" w:eastAsia="zh-CN"/>
        </w:rPr>
        <w:t>元</w:t>
      </w:r>
      <w:r>
        <w:rPr>
          <w:rFonts w:hint="eastAsia" w:ascii="仿宋" w:hAnsi="仿宋" w:eastAsia="仿宋" w:cs="仿宋"/>
          <w:color w:val="auto"/>
          <w:sz w:val="24"/>
          <w:szCs w:val="24"/>
          <w:highlight w:val="none"/>
          <w:lang w:val="en-US" w:eastAsia="zh-CN"/>
        </w:rPr>
        <w:t>，单个项目招标代理费不足1500元的，按1500元计取。</w:t>
      </w:r>
    </w:p>
    <w:p>
      <w:pPr>
        <w:pStyle w:val="63"/>
        <w:spacing w:after="0"/>
        <w:ind w:firstLine="480" w:firstLineChars="200"/>
        <w:jc w:val="left"/>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r>
        <w:rPr>
          <w:rFonts w:hint="eastAsia" w:ascii="仿宋" w:hAnsi="仿宋" w:eastAsia="仿宋" w:cs="仿宋"/>
          <w:bCs/>
          <w:color w:val="auto"/>
          <w:kern w:val="2"/>
          <w:sz w:val="24"/>
          <w:szCs w:val="24"/>
          <w:highlight w:val="none"/>
          <w:lang w:val="en-US" w:eastAsia="zh-CN"/>
        </w:rPr>
        <w:t>2</w:t>
      </w:r>
      <w:r>
        <w:rPr>
          <w:rFonts w:hint="eastAsia" w:ascii="仿宋" w:hAnsi="仿宋" w:eastAsia="仿宋" w:cs="仿宋"/>
          <w:bCs/>
          <w:color w:val="auto"/>
          <w:kern w:val="2"/>
          <w:sz w:val="24"/>
          <w:szCs w:val="24"/>
          <w:highlight w:val="none"/>
        </w:rPr>
        <w:t>以上费用不在报价中单列，请各供应商在报价时考虑。</w:t>
      </w:r>
    </w:p>
    <w:p>
      <w:pPr>
        <w:pStyle w:val="63"/>
        <w:spacing w:after="0"/>
        <w:ind w:firstLine="480" w:firstLineChars="200"/>
        <w:jc w:val="left"/>
        <w:rPr>
          <w:rFonts w:hint="eastAsia" w:ascii="仿宋" w:hAnsi="仿宋" w:eastAsia="仿宋" w:cs="仿宋"/>
          <w:bCs/>
          <w:color w:val="auto"/>
          <w:kern w:val="2"/>
          <w:sz w:val="24"/>
          <w:szCs w:val="24"/>
          <w:highlight w:val="none"/>
        </w:rPr>
      </w:pPr>
      <w:bookmarkStart w:id="39" w:name="_Hlk47305225"/>
      <w:r>
        <w:rPr>
          <w:rFonts w:hint="eastAsia" w:ascii="仿宋" w:hAnsi="仿宋" w:eastAsia="仿宋" w:cs="仿宋"/>
          <w:bCs/>
          <w:color w:val="auto"/>
          <w:kern w:val="2"/>
          <w:sz w:val="24"/>
          <w:szCs w:val="24"/>
          <w:highlight w:val="none"/>
        </w:rPr>
        <w:t>4</w:t>
      </w:r>
      <w:bookmarkEnd w:id="39"/>
      <w:r>
        <w:rPr>
          <w:rFonts w:hint="eastAsia" w:ascii="仿宋" w:hAnsi="仿宋" w:eastAsia="仿宋" w:cs="仿宋"/>
          <w:bCs/>
          <w:color w:val="auto"/>
          <w:kern w:val="2"/>
          <w:sz w:val="24"/>
          <w:szCs w:val="24"/>
          <w:highlight w:val="none"/>
        </w:rPr>
        <w:t>.解释权</w:t>
      </w:r>
    </w:p>
    <w:p>
      <w:pPr>
        <w:pStyle w:val="63"/>
        <w:spacing w:after="0"/>
        <w:ind w:firstLine="480" w:firstLineChars="200"/>
        <w:jc w:val="left"/>
        <w:rPr>
          <w:rFonts w:ascii="仿宋" w:hAnsi="仿宋" w:eastAsia="仿宋" w:cs="仿宋"/>
          <w:bCs/>
          <w:color w:val="auto"/>
          <w:sz w:val="24"/>
          <w:szCs w:val="24"/>
          <w:highlight w:val="none"/>
        </w:rPr>
        <w:sectPr>
          <w:footerReference r:id="rId9" w:type="default"/>
          <w:pgSz w:w="11920" w:h="16840"/>
          <w:pgMar w:top="1440" w:right="1803" w:bottom="1440" w:left="1803" w:header="877" w:footer="1037" w:gutter="0"/>
          <w:pgNumType w:fmt="decimal" w:start="1"/>
          <w:cols w:space="720" w:num="1"/>
        </w:sectPr>
      </w:pPr>
      <w:r>
        <w:rPr>
          <w:rFonts w:hint="eastAsia" w:ascii="仿宋" w:hAnsi="仿宋" w:eastAsia="仿宋" w:cs="仿宋"/>
          <w:bCs/>
          <w:color w:val="auto"/>
          <w:kern w:val="2"/>
          <w:sz w:val="24"/>
          <w:szCs w:val="24"/>
          <w:highlight w:val="none"/>
        </w:rPr>
        <w:t>凡涉及本次文件的解释权均属于</w:t>
      </w:r>
      <w:r>
        <w:rPr>
          <w:rFonts w:hint="eastAsia" w:ascii="仿宋" w:hAnsi="仿宋" w:eastAsia="仿宋" w:cs="仿宋"/>
          <w:bCs/>
          <w:color w:val="auto"/>
          <w:kern w:val="2"/>
          <w:sz w:val="24"/>
          <w:szCs w:val="24"/>
          <w:highlight w:val="none"/>
          <w:lang w:eastAsia="zh-CN"/>
        </w:rPr>
        <w:t>衢州学院</w:t>
      </w:r>
      <w:r>
        <w:rPr>
          <w:rFonts w:hint="eastAsia" w:ascii="仿宋" w:hAnsi="仿宋" w:eastAsia="仿宋" w:cs="仿宋"/>
          <w:bCs/>
          <w:color w:val="auto"/>
          <w:kern w:val="2"/>
          <w:sz w:val="24"/>
          <w:szCs w:val="24"/>
          <w:highlight w:val="none"/>
        </w:rPr>
        <w:t>和</w:t>
      </w:r>
      <w:r>
        <w:rPr>
          <w:rFonts w:hint="eastAsia" w:ascii="仿宋" w:hAnsi="仿宋" w:eastAsia="仿宋" w:cs="仿宋"/>
          <w:bCs/>
          <w:color w:val="auto"/>
          <w:kern w:val="2"/>
          <w:sz w:val="24"/>
          <w:szCs w:val="24"/>
          <w:highlight w:val="none"/>
          <w:lang w:eastAsia="zh-CN"/>
        </w:rPr>
        <w:t>耀华建设管理有</w:t>
      </w:r>
      <w:r>
        <w:rPr>
          <w:rFonts w:hint="eastAsia" w:ascii="仿宋" w:hAnsi="仿宋" w:eastAsia="仿宋" w:cs="仿宋"/>
          <w:color w:val="auto"/>
          <w:sz w:val="24"/>
          <w:szCs w:val="24"/>
          <w:highlight w:val="none"/>
          <w:lang w:eastAsia="zh-CN"/>
        </w:rPr>
        <w:t>限公司</w:t>
      </w:r>
      <w:r>
        <w:rPr>
          <w:rFonts w:hint="eastAsia" w:ascii="仿宋" w:hAnsi="仿宋" w:eastAsia="仿宋" w:cs="仿宋"/>
          <w:color w:val="auto"/>
          <w:sz w:val="24"/>
          <w:szCs w:val="24"/>
          <w:highlight w:val="none"/>
        </w:rPr>
        <w:t>。</w:t>
      </w:r>
    </w:p>
    <w:p>
      <w:pPr>
        <w:pStyle w:val="3"/>
        <w:pageBreakBefore/>
        <w:numPr>
          <w:ilvl w:val="0"/>
          <w:numId w:val="0"/>
        </w:numPr>
        <w:spacing w:beforeLines="0" w:after="156"/>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第三部分</w:t>
      </w:r>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采购内容及要求</w:t>
      </w:r>
    </w:p>
    <w:p>
      <w:pPr>
        <w:pStyle w:val="63"/>
        <w:spacing w:after="0"/>
        <w:jc w:val="left"/>
        <w:outlineLvl w:val="1"/>
        <w:rPr>
          <w:rFonts w:hint="eastAsia" w:ascii="仿宋" w:hAnsi="仿宋" w:eastAsia="仿宋" w:cs="仿宋_GB2312"/>
          <w:b/>
          <w:color w:val="auto"/>
          <w:sz w:val="24"/>
          <w:szCs w:val="24"/>
          <w:highlight w:val="none"/>
        </w:rPr>
      </w:pPr>
      <w:bookmarkStart w:id="40" w:name="_Toc50562683"/>
      <w:bookmarkStart w:id="41" w:name="_Toc450840080"/>
      <w:bookmarkStart w:id="42" w:name="_Toc272368145"/>
      <w:r>
        <w:rPr>
          <w:rFonts w:hint="eastAsia" w:ascii="仿宋" w:hAnsi="仿宋" w:eastAsia="仿宋" w:cs="仿宋_GB2312"/>
          <w:b/>
          <w:color w:val="auto"/>
          <w:sz w:val="24"/>
          <w:szCs w:val="24"/>
          <w:highlight w:val="none"/>
        </w:rPr>
        <w:t>一、项目简介</w:t>
      </w:r>
      <w:bookmarkEnd w:id="40"/>
      <w:bookmarkEnd w:id="41"/>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lang w:eastAsia="zh-CN"/>
        </w:rPr>
        <w:t>衢州学院</w:t>
      </w:r>
      <w:r>
        <w:rPr>
          <w:rFonts w:hint="eastAsia" w:ascii="仿宋" w:hAnsi="仿宋" w:eastAsia="仿宋" w:cs="仿宋_GB2312"/>
          <w:b w:val="0"/>
          <w:bCs/>
          <w:color w:val="auto"/>
          <w:sz w:val="24"/>
          <w:szCs w:val="24"/>
          <w:highlight w:val="none"/>
        </w:rPr>
        <w:t>以</w:t>
      </w:r>
      <w:r>
        <w:rPr>
          <w:rFonts w:hint="eastAsia" w:ascii="仿宋" w:hAnsi="仿宋" w:eastAsia="仿宋" w:cs="仿宋_GB2312"/>
          <w:b w:val="0"/>
          <w:bCs/>
          <w:color w:val="auto"/>
          <w:sz w:val="24"/>
          <w:szCs w:val="24"/>
          <w:highlight w:val="none"/>
          <w:lang w:val="en-US" w:eastAsia="zh-CN"/>
        </w:rPr>
        <w:t>竞争性磋商</w:t>
      </w:r>
      <w:r>
        <w:rPr>
          <w:rFonts w:hint="eastAsia" w:ascii="仿宋" w:hAnsi="仿宋" w:eastAsia="仿宋" w:cs="仿宋_GB2312"/>
          <w:b w:val="0"/>
          <w:bCs/>
          <w:color w:val="auto"/>
          <w:sz w:val="24"/>
          <w:szCs w:val="24"/>
          <w:highlight w:val="none"/>
        </w:rPr>
        <w:t>方式</w:t>
      </w:r>
      <w:r>
        <w:rPr>
          <w:rFonts w:hint="eastAsia" w:ascii="仿宋" w:hAnsi="仿宋" w:eastAsia="仿宋" w:cs="仿宋_GB2312"/>
          <w:b w:val="0"/>
          <w:bCs/>
          <w:color w:val="auto"/>
          <w:sz w:val="24"/>
          <w:szCs w:val="24"/>
          <w:highlight w:val="none"/>
          <w:lang w:val="en-US" w:eastAsia="zh-CN"/>
        </w:rPr>
        <w:t>实施</w:t>
      </w:r>
      <w:r>
        <w:rPr>
          <w:rFonts w:hint="eastAsia" w:ascii="仿宋" w:hAnsi="仿宋" w:eastAsia="仿宋" w:cs="仿宋_GB2312"/>
          <w:b w:val="0"/>
          <w:bCs/>
          <w:color w:val="auto"/>
          <w:sz w:val="24"/>
          <w:szCs w:val="24"/>
          <w:highlight w:val="none"/>
          <w:lang w:eastAsia="zh-CN"/>
        </w:rPr>
        <w:t>衢州学院遴选合作银行项目</w:t>
      </w:r>
      <w:r>
        <w:rPr>
          <w:rFonts w:hint="eastAsia" w:ascii="仿宋" w:hAnsi="仿宋" w:eastAsia="仿宋" w:cs="仿宋_GB2312"/>
          <w:b w:val="0"/>
          <w:bCs/>
          <w:color w:val="auto"/>
          <w:sz w:val="24"/>
          <w:szCs w:val="24"/>
          <w:highlight w:val="none"/>
        </w:rPr>
        <w:t>。</w:t>
      </w:r>
    </w:p>
    <w:p>
      <w:pPr>
        <w:pStyle w:val="63"/>
        <w:spacing w:after="0"/>
        <w:jc w:val="left"/>
        <w:outlineLvl w:val="1"/>
        <w:rPr>
          <w:rFonts w:hint="eastAsia" w:ascii="仿宋" w:hAnsi="仿宋" w:eastAsia="仿宋" w:cs="仿宋_GB2312"/>
          <w:b/>
          <w:color w:val="auto"/>
          <w:sz w:val="24"/>
          <w:szCs w:val="24"/>
          <w:highlight w:val="none"/>
        </w:rPr>
      </w:pPr>
      <w:bookmarkStart w:id="43" w:name="_Toc50562684"/>
      <w:bookmarkStart w:id="44" w:name="_Toc450840081"/>
      <w:r>
        <w:rPr>
          <w:rFonts w:hint="eastAsia" w:ascii="仿宋" w:hAnsi="仿宋" w:eastAsia="仿宋" w:cs="仿宋_GB2312"/>
          <w:b/>
          <w:color w:val="auto"/>
          <w:sz w:val="24"/>
          <w:szCs w:val="24"/>
          <w:highlight w:val="none"/>
          <w:lang w:val="en-US" w:eastAsia="zh-CN"/>
        </w:rPr>
        <w:t>二、</w:t>
      </w:r>
      <w:r>
        <w:rPr>
          <w:rFonts w:hint="eastAsia" w:ascii="仿宋" w:hAnsi="仿宋" w:eastAsia="仿宋" w:cs="仿宋_GB2312"/>
          <w:b/>
          <w:color w:val="auto"/>
          <w:sz w:val="24"/>
          <w:szCs w:val="24"/>
          <w:highlight w:val="none"/>
        </w:rPr>
        <w:t>招标项目一览表</w:t>
      </w:r>
      <w:bookmarkEnd w:id="43"/>
      <w:bookmarkEnd w:id="44"/>
    </w:p>
    <w:tbl>
      <w:tblPr>
        <w:tblStyle w:val="41"/>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650"/>
        <w:gridCol w:w="478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19"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eastAsia" w:ascii="仿宋" w:hAnsi="仿宋" w:eastAsia="仿宋" w:cs="仿宋"/>
                <w:b w:val="0"/>
                <w:bCs/>
                <w:color w:val="auto"/>
                <w:sz w:val="24"/>
                <w:szCs w:val="24"/>
                <w:highlight w:val="none"/>
              </w:rPr>
            </w:pPr>
            <w:bookmarkStart w:id="45" w:name="_Toc50562685"/>
            <w:bookmarkStart w:id="46" w:name="_Toc82873317"/>
            <w:bookmarkStart w:id="47" w:name="_Toc82338234"/>
            <w:r>
              <w:rPr>
                <w:rFonts w:hint="eastAsia" w:ascii="仿宋" w:hAnsi="仿宋" w:eastAsia="仿宋" w:cs="仿宋"/>
                <w:b w:val="0"/>
                <w:bCs/>
                <w:color w:val="auto"/>
                <w:sz w:val="24"/>
                <w:szCs w:val="24"/>
                <w:highlight w:val="none"/>
              </w:rPr>
              <w:t>序号</w:t>
            </w:r>
          </w:p>
        </w:tc>
        <w:tc>
          <w:tcPr>
            <w:tcW w:w="1650"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p>
        </w:tc>
        <w:tc>
          <w:tcPr>
            <w:tcW w:w="4781"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服务内容</w:t>
            </w:r>
          </w:p>
        </w:tc>
        <w:tc>
          <w:tcPr>
            <w:tcW w:w="1759"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确定中标银行数量（家）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919"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w:t>
            </w:r>
          </w:p>
        </w:tc>
        <w:tc>
          <w:tcPr>
            <w:tcW w:w="1650"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衢州学院遴选合作银行项目</w:t>
            </w:r>
          </w:p>
        </w:tc>
        <w:tc>
          <w:tcPr>
            <w:tcW w:w="4781"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300" w:lineRule="exact"/>
              <w:jc w:val="center"/>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对公结算服务</w:t>
            </w:r>
            <w:r>
              <w:rPr>
                <w:rFonts w:hint="eastAsia" w:ascii="仿宋" w:hAnsi="仿宋" w:eastAsia="仿宋" w:cs="仿宋"/>
                <w:b w:val="0"/>
                <w:bCs/>
                <w:color w:val="auto"/>
                <w:sz w:val="24"/>
                <w:szCs w:val="24"/>
                <w:highlight w:val="none"/>
                <w:lang w:val="en-US" w:eastAsia="zh-CN"/>
              </w:rPr>
              <w:t>、代发教职工薪酬服务、党费专户、工会专户、授信业务、大学生助学贷款服务、校园一卡通服务、银校合作人才培养等，合作期限六年。</w:t>
            </w:r>
          </w:p>
        </w:tc>
        <w:tc>
          <w:tcPr>
            <w:tcW w:w="1759" w:type="dxa"/>
            <w:noWrap w:val="0"/>
            <w:vAlign w:val="center"/>
          </w:tcPr>
          <w:p>
            <w:pPr>
              <w:keepNext w:val="0"/>
              <w:keepLines w:val="0"/>
              <w:pageBreakBefore w:val="0"/>
              <w:widowControl/>
              <w:tabs>
                <w:tab w:val="left" w:pos="720"/>
              </w:tabs>
              <w:kinsoku/>
              <w:wordWrap/>
              <w:overflowPunct/>
              <w:topLinePunct w:val="0"/>
              <w:autoSpaceDE/>
              <w:autoSpaceDN/>
              <w:bidi w:val="0"/>
              <w:adjustRightInd w:val="0"/>
              <w:snapToGrid/>
              <w:spacing w:after="0" w:line="400" w:lineRule="exact"/>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r>
    </w:tbl>
    <w:p>
      <w:pPr>
        <w:pStyle w:val="63"/>
        <w:spacing w:after="0"/>
        <w:jc w:val="left"/>
        <w:outlineLvl w:val="1"/>
        <w:rPr>
          <w:rFonts w:hint="eastAsia"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三、</w:t>
      </w:r>
      <w:bookmarkEnd w:id="45"/>
      <w:bookmarkStart w:id="48" w:name="_Toc450840083"/>
      <w:r>
        <w:rPr>
          <w:rFonts w:hint="eastAsia" w:ascii="仿宋" w:hAnsi="仿宋" w:eastAsia="仿宋" w:cs="仿宋_GB2312"/>
          <w:b/>
          <w:color w:val="auto"/>
          <w:sz w:val="24"/>
          <w:szCs w:val="24"/>
          <w:highlight w:val="none"/>
        </w:rPr>
        <w:t>学校金融服务需求</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1.对公结算服务。</w:t>
      </w:r>
      <w:r>
        <w:rPr>
          <w:rFonts w:hint="eastAsia" w:ascii="仿宋" w:hAnsi="仿宋" w:eastAsia="仿宋" w:cs="仿宋_GB2312"/>
          <w:b/>
          <w:bCs w:val="0"/>
          <w:color w:val="auto"/>
          <w:sz w:val="24"/>
          <w:szCs w:val="24"/>
          <w:highlight w:val="none"/>
        </w:rPr>
        <w:t>包括</w:t>
      </w:r>
      <w:r>
        <w:rPr>
          <w:rFonts w:hint="eastAsia" w:ascii="仿宋" w:hAnsi="仿宋" w:eastAsia="仿宋" w:cs="仿宋_GB2312"/>
          <w:b/>
          <w:bCs w:val="0"/>
          <w:color w:val="auto"/>
          <w:sz w:val="24"/>
          <w:szCs w:val="24"/>
          <w:highlight w:val="none"/>
          <w:lang w:val="en-US" w:eastAsia="zh-CN"/>
        </w:rPr>
        <w:t>不限于</w:t>
      </w:r>
      <w:r>
        <w:rPr>
          <w:rFonts w:hint="eastAsia" w:ascii="仿宋" w:hAnsi="仿宋" w:eastAsia="仿宋" w:cs="仿宋_GB2312"/>
          <w:b/>
          <w:bCs w:val="0"/>
          <w:color w:val="auto"/>
          <w:sz w:val="24"/>
          <w:szCs w:val="24"/>
          <w:highlight w:val="none"/>
        </w:rPr>
        <w:t>基本结算账户和一般结算账户、专用结算账户开立</w:t>
      </w:r>
      <w:r>
        <w:rPr>
          <w:rFonts w:hint="eastAsia" w:ascii="仿宋" w:hAnsi="仿宋" w:eastAsia="仿宋" w:cs="仿宋_GB2312"/>
          <w:b/>
          <w:bCs w:val="0"/>
          <w:color w:val="auto"/>
          <w:sz w:val="24"/>
          <w:szCs w:val="24"/>
          <w:highlight w:val="none"/>
          <w:lang w:eastAsia="zh-CN"/>
        </w:rPr>
        <w:t>（</w:t>
      </w:r>
      <w:r>
        <w:rPr>
          <w:rFonts w:hint="eastAsia" w:ascii="仿宋" w:hAnsi="仿宋" w:eastAsia="仿宋" w:cs="仿宋_GB2312"/>
          <w:b/>
          <w:bCs w:val="0"/>
          <w:color w:val="auto"/>
          <w:sz w:val="24"/>
          <w:szCs w:val="24"/>
          <w:highlight w:val="none"/>
          <w:lang w:val="en-US" w:eastAsia="zh-CN"/>
        </w:rPr>
        <w:t>含党费专户和工会专户）</w:t>
      </w:r>
      <w:r>
        <w:rPr>
          <w:rFonts w:hint="eastAsia" w:ascii="仿宋" w:hAnsi="仿宋" w:eastAsia="仿宋" w:cs="仿宋_GB2312"/>
          <w:b w:val="0"/>
          <w:bCs/>
          <w:color w:val="auto"/>
          <w:sz w:val="24"/>
          <w:szCs w:val="24"/>
          <w:highlight w:val="none"/>
        </w:rPr>
        <w:t>；提供安全便捷的账户资金管理服务和企业网银服务（包括财务核算系统无现金支付系统对接）；满足账户资金结算、电子对账管理、资金归集、到账提醒、结算票据送达等服务。</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2.代发教职工薪酬服务。包括教职工工资卡及其网银（包括手机银行）首次免费办理，免收工资卡账户管理费用和短信服务费，免收工资卡转账手续费（在校学生的储蓄卡享受同等优惠）；代发工资数据安全保密传输，并通过网银权限控制实现事权分离，满足薪酬管理需要；提供电子工资单服务。</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3.授信业务。在符合相关法律法规和合作银行内部相关信贷制度的条件下，合作银行根据学校、教职工的需求和信用资质，为学校、教职工核定综合授信额度，期限一年，每年核定一次。在授信额度下，对学校或教职工贷款利率给予优惠。</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4.大学生助学贷款服务。为贫困生大学生提供国家助学贷款服务，支持学生顺利完成学业。</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5.校园一卡通服务。包括在校学生校内一卡通消费的资金归集，校园卡充值和自助转账服务等。</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6.银校合作人才培养。合作银行建立校外实习、实践基地，为学校相关专业人才培养提供师资、实习和就业支持，为专业教师社会实践搭建平台，为学校继续教育和职业培训提供支持。</w:t>
      </w:r>
    </w:p>
    <w:p>
      <w:pPr>
        <w:pStyle w:val="63"/>
        <w:spacing w:after="0"/>
        <w:ind w:firstLine="480" w:firstLineChars="200"/>
        <w:jc w:val="left"/>
        <w:outlineLvl w:val="1"/>
        <w:rPr>
          <w:rFonts w:hint="eastAsia" w:ascii="仿宋" w:hAnsi="仿宋" w:eastAsia="仿宋" w:cs="仿宋_GB2312"/>
          <w:b/>
          <w:color w:val="auto"/>
          <w:sz w:val="24"/>
          <w:szCs w:val="24"/>
          <w:highlight w:val="none"/>
        </w:rPr>
      </w:pPr>
      <w:r>
        <w:rPr>
          <w:rFonts w:hint="eastAsia" w:ascii="仿宋" w:hAnsi="仿宋" w:eastAsia="仿宋" w:cs="仿宋_GB2312"/>
          <w:b w:val="0"/>
          <w:bCs/>
          <w:color w:val="auto"/>
          <w:sz w:val="24"/>
          <w:szCs w:val="24"/>
          <w:highlight w:val="none"/>
        </w:rPr>
        <w:t>7.其他优惠措施：根据响应人的具体情况给予符合自身能力的其他服务承诺。</w:t>
      </w:r>
    </w:p>
    <w:p>
      <w:pPr>
        <w:pStyle w:val="63"/>
        <w:spacing w:after="0"/>
        <w:jc w:val="left"/>
        <w:outlineLvl w:val="1"/>
        <w:rPr>
          <w:rFonts w:hint="eastAsia"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四</w:t>
      </w:r>
      <w:r>
        <w:rPr>
          <w:rFonts w:hint="eastAsia" w:ascii="仿宋" w:hAnsi="仿宋" w:eastAsia="仿宋" w:cs="仿宋_GB2312"/>
          <w:b/>
          <w:color w:val="auto"/>
          <w:sz w:val="24"/>
          <w:szCs w:val="24"/>
          <w:highlight w:val="none"/>
        </w:rPr>
        <w:t>、学校信息化及校园文化建设支持需求</w:t>
      </w:r>
    </w:p>
    <w:p>
      <w:pPr>
        <w:pStyle w:val="63"/>
        <w:spacing w:after="0"/>
        <w:ind w:firstLine="482" w:firstLineChars="200"/>
        <w:jc w:val="left"/>
        <w:outlineLvl w:val="1"/>
        <w:rPr>
          <w:rFonts w:hint="eastAsia" w:ascii="仿宋" w:hAnsi="仿宋" w:eastAsia="仿宋" w:cs="仿宋_GB2312"/>
          <w:b/>
          <w:bCs w:val="0"/>
          <w:color w:val="auto"/>
          <w:sz w:val="24"/>
          <w:szCs w:val="24"/>
          <w:highlight w:val="none"/>
        </w:rPr>
      </w:pPr>
      <w:r>
        <w:rPr>
          <w:rFonts w:hint="eastAsia" w:ascii="仿宋" w:hAnsi="仿宋" w:eastAsia="仿宋" w:cs="仿宋_GB2312"/>
          <w:b/>
          <w:bCs w:val="0"/>
          <w:color w:val="auto"/>
          <w:sz w:val="24"/>
          <w:szCs w:val="24"/>
          <w:highlight w:val="none"/>
        </w:rPr>
        <w:t>1.为学校信息化及校园文化建设提供资金支持，</w:t>
      </w:r>
      <w:r>
        <w:rPr>
          <w:rFonts w:hint="eastAsia" w:ascii="仿宋" w:hAnsi="仿宋" w:eastAsia="仿宋" w:cs="仿宋_GB2312"/>
          <w:b/>
          <w:bCs w:val="0"/>
          <w:color w:val="auto"/>
          <w:sz w:val="24"/>
          <w:szCs w:val="24"/>
          <w:highlight w:val="none"/>
          <w:lang w:val="en-US" w:eastAsia="zh-CN"/>
        </w:rPr>
        <w:t>包括不限</w:t>
      </w:r>
      <w:r>
        <w:rPr>
          <w:rFonts w:hint="eastAsia" w:ascii="仿宋" w:hAnsi="仿宋" w:eastAsia="仿宋" w:cs="仿宋_GB2312"/>
          <w:b/>
          <w:bCs w:val="0"/>
          <w:color w:val="auto"/>
          <w:sz w:val="24"/>
          <w:szCs w:val="24"/>
          <w:highlight w:val="none"/>
        </w:rPr>
        <w:t>于智慧校园、学校财务系统升级和服务、校园文化等建设项目，投资总额不少于</w:t>
      </w:r>
      <w:r>
        <w:rPr>
          <w:rFonts w:hint="eastAsia" w:ascii="仿宋" w:hAnsi="仿宋" w:eastAsia="仿宋" w:cs="仿宋_GB2312"/>
          <w:b/>
          <w:bCs w:val="0"/>
          <w:color w:val="auto"/>
          <w:sz w:val="24"/>
          <w:szCs w:val="24"/>
          <w:highlight w:val="none"/>
          <w:lang w:val="en-US" w:eastAsia="zh-CN"/>
        </w:rPr>
        <w:t>800</w:t>
      </w:r>
      <w:r>
        <w:rPr>
          <w:rFonts w:hint="eastAsia" w:ascii="仿宋" w:hAnsi="仿宋" w:eastAsia="仿宋" w:cs="仿宋_GB2312"/>
          <w:b/>
          <w:bCs w:val="0"/>
          <w:color w:val="auto"/>
          <w:sz w:val="24"/>
          <w:szCs w:val="24"/>
          <w:highlight w:val="none"/>
        </w:rPr>
        <w:t>万元。</w:t>
      </w:r>
    </w:p>
    <w:p>
      <w:pPr>
        <w:pStyle w:val="63"/>
        <w:spacing w:after="0"/>
        <w:ind w:firstLine="480" w:firstLineChars="200"/>
        <w:jc w:val="left"/>
        <w:outlineLvl w:val="1"/>
        <w:rPr>
          <w:rFonts w:hint="eastAsia" w:ascii="仿宋" w:hAnsi="仿宋" w:eastAsia="仿宋" w:cs="仿宋_GB2312"/>
          <w:b w:val="0"/>
          <w:bCs/>
          <w:color w:val="auto"/>
          <w:sz w:val="24"/>
          <w:szCs w:val="24"/>
          <w:highlight w:val="none"/>
        </w:rPr>
      </w:pPr>
      <w:r>
        <w:rPr>
          <w:rFonts w:hint="eastAsia" w:ascii="仿宋" w:hAnsi="仿宋" w:eastAsia="仿宋" w:cs="仿宋_GB2312"/>
          <w:b w:val="0"/>
          <w:bCs/>
          <w:color w:val="auto"/>
          <w:sz w:val="24"/>
          <w:szCs w:val="24"/>
          <w:highlight w:val="none"/>
        </w:rPr>
        <w:t>2.支持的建设项目由学校主导、银行协同制定建设方案，并由双方协同完成采购实施，支持资金以相关建设项目的合同金额为准核算。合作银行为学校投入的软硬件设施产权归合作银行所有，学校享有永久使用权。</w:t>
      </w:r>
    </w:p>
    <w:p>
      <w:pPr>
        <w:pStyle w:val="63"/>
        <w:spacing w:after="0"/>
        <w:ind w:firstLine="482" w:firstLineChars="200"/>
        <w:jc w:val="left"/>
        <w:outlineLvl w:val="1"/>
        <w:rPr>
          <w:rFonts w:hint="eastAsia" w:ascii="仿宋" w:hAnsi="仿宋" w:eastAsia="仿宋" w:cs="仿宋_GB2312"/>
          <w:b/>
          <w:bCs w:val="0"/>
          <w:color w:val="auto"/>
          <w:sz w:val="24"/>
          <w:szCs w:val="24"/>
          <w:highlight w:val="none"/>
        </w:rPr>
      </w:pPr>
      <w:r>
        <w:rPr>
          <w:rFonts w:hint="eastAsia" w:ascii="仿宋" w:hAnsi="仿宋" w:eastAsia="仿宋" w:cs="仿宋_GB2312"/>
          <w:b/>
          <w:bCs w:val="0"/>
          <w:color w:val="auto"/>
          <w:sz w:val="24"/>
          <w:szCs w:val="24"/>
          <w:highlight w:val="none"/>
        </w:rPr>
        <w:t>3.合作银行承诺的支持学校发展投资总额必须在合同签订之日后的前3年内全部投资到位，其中前2年至少完成投资总额的</w:t>
      </w:r>
      <w:r>
        <w:rPr>
          <w:rFonts w:hint="eastAsia" w:ascii="仿宋" w:hAnsi="仿宋" w:eastAsia="仿宋" w:cs="仿宋_GB2312"/>
          <w:b/>
          <w:bCs w:val="0"/>
          <w:color w:val="auto"/>
          <w:sz w:val="24"/>
          <w:szCs w:val="24"/>
          <w:highlight w:val="none"/>
          <w:lang w:val="en-US" w:eastAsia="zh-CN"/>
        </w:rPr>
        <w:t>50</w:t>
      </w:r>
      <w:r>
        <w:rPr>
          <w:rFonts w:hint="eastAsia" w:ascii="仿宋" w:hAnsi="仿宋" w:eastAsia="仿宋" w:cs="仿宋_GB2312"/>
          <w:b/>
          <w:bCs w:val="0"/>
          <w:color w:val="auto"/>
          <w:sz w:val="24"/>
          <w:szCs w:val="24"/>
          <w:highlight w:val="none"/>
        </w:rPr>
        <w:t>%，如遇项目建设周期问题，可按学校具体要求延期投资。</w:t>
      </w:r>
    </w:p>
    <w:bookmarkEnd w:id="46"/>
    <w:bookmarkEnd w:id="47"/>
    <w:bookmarkEnd w:id="48"/>
    <w:p>
      <w:pPr>
        <w:pStyle w:val="3"/>
        <w:pageBreakBefore/>
        <w:numPr>
          <w:ilvl w:val="0"/>
          <w:numId w:val="0"/>
        </w:numPr>
        <w:spacing w:before="156" w:after="156"/>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第四部分</w:t>
      </w:r>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合同样本</w:t>
      </w:r>
    </w:p>
    <w:p>
      <w:pPr>
        <w:widowControl/>
        <w:shd w:val="clear" w:color="auto" w:fill="FFFFFF"/>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衢州学院遴选合作银行项目</w:t>
      </w:r>
      <w:r>
        <w:rPr>
          <w:rFonts w:hint="eastAsia" w:ascii="仿宋" w:hAnsi="仿宋" w:eastAsia="仿宋" w:cs="仿宋"/>
          <w:b/>
          <w:color w:val="auto"/>
          <w:sz w:val="30"/>
          <w:szCs w:val="30"/>
          <w:highlight w:val="none"/>
          <w:lang w:val="en-US" w:eastAsia="zh-CN"/>
        </w:rPr>
        <w:t>合同</w:t>
      </w:r>
      <w:r>
        <w:rPr>
          <w:rFonts w:hint="eastAsia" w:ascii="仿宋" w:hAnsi="仿宋" w:eastAsia="仿宋" w:cs="仿宋"/>
          <w:b/>
          <w:color w:val="auto"/>
          <w:sz w:val="30"/>
          <w:szCs w:val="30"/>
          <w:highlight w:val="none"/>
        </w:rPr>
        <w:t>（本合同条款为模板，具体约定按磋商后采购结果签订）</w:t>
      </w:r>
    </w:p>
    <w:p>
      <w:pPr>
        <w:spacing w:after="0" w:line="400" w:lineRule="exact"/>
        <w:rPr>
          <w:rFonts w:hint="eastAsia" w:ascii="仿宋" w:hAnsi="仿宋" w:eastAsia="仿宋" w:cs="仿宋"/>
          <w:color w:val="auto"/>
          <w:kern w:val="2"/>
          <w:sz w:val="24"/>
          <w:szCs w:val="24"/>
          <w:highlight w:val="none"/>
        </w:rPr>
      </w:pPr>
    </w:p>
    <w:p>
      <w:pPr>
        <w:spacing w:beforeLines="0" w:after="0" w:afterLines="0" w:line="44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甲  方：衢州学院                     乙  方：</w:t>
      </w:r>
    </w:p>
    <w:p>
      <w:pPr>
        <w:spacing w:beforeLines="0" w:after="0" w:afterLines="0" w:line="44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  址：</w:t>
      </w:r>
      <w:r>
        <w:rPr>
          <w:rFonts w:hint="eastAsia" w:ascii="仿宋" w:hAnsi="仿宋" w:eastAsia="仿宋" w:cs="仿宋"/>
          <w:bCs w:val="0"/>
          <w:color w:val="auto"/>
          <w:kern w:val="2"/>
          <w:sz w:val="24"/>
          <w:szCs w:val="24"/>
          <w:highlight w:val="none"/>
        </w:rPr>
        <w:t>衢州市九华北大道78号</w:t>
      </w:r>
      <w:r>
        <w:rPr>
          <w:rFonts w:hint="eastAsia" w:ascii="仿宋" w:hAnsi="仿宋" w:eastAsia="仿宋" w:cs="仿宋"/>
          <w:color w:val="auto"/>
          <w:kern w:val="2"/>
          <w:sz w:val="24"/>
          <w:szCs w:val="24"/>
          <w:highlight w:val="none"/>
        </w:rPr>
        <w:t xml:space="preserve">        地  址：</w:t>
      </w:r>
    </w:p>
    <w:p>
      <w:pPr>
        <w:spacing w:beforeLines="0" w:after="0" w:afterLines="0" w:line="44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邮  编：324000                       邮  编：</w:t>
      </w:r>
    </w:p>
    <w:p>
      <w:pPr>
        <w:spacing w:beforeLines="0" w:after="0" w:afterLines="0" w:line="44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联系人：                             联系人：</w:t>
      </w:r>
    </w:p>
    <w:p>
      <w:pPr>
        <w:spacing w:beforeLines="0" w:after="0" w:afterLines="0" w:line="44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  话：                             电  话：</w:t>
      </w:r>
    </w:p>
    <w:p>
      <w:pPr>
        <w:spacing w:beforeLines="0" w:after="0" w:afterLines="0" w:line="440" w:lineRule="exact"/>
        <w:jc w:val="righ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签约地点：浙江衢州九华北大道78号</w:t>
      </w:r>
    </w:p>
    <w:p>
      <w:pPr>
        <w:keepNext w:val="0"/>
        <w:keepLines w:val="0"/>
        <w:pageBreakBefore w:val="0"/>
        <w:widowControl/>
        <w:kinsoku/>
        <w:wordWrap/>
        <w:overflowPunct/>
        <w:topLinePunct w:val="0"/>
        <w:autoSpaceDE/>
        <w:autoSpaceDN/>
        <w:bidi w:val="0"/>
        <w:adjustRightInd w:val="0"/>
        <w:snapToGrid w:val="0"/>
        <w:spacing w:beforeLines="0" w:after="0" w:afterLines="0"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一、说  明</w:t>
      </w:r>
    </w:p>
    <w:p>
      <w:pPr>
        <w:pStyle w:val="38"/>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1.合同基本条款是指</w:t>
      </w:r>
      <w:r>
        <w:rPr>
          <w:rFonts w:hint="eastAsia" w:ascii="仿宋" w:hAnsi="仿宋" w:eastAsia="仿宋" w:cs="仿宋"/>
          <w:color w:val="auto"/>
          <w:kern w:val="2"/>
          <w:sz w:val="24"/>
          <w:szCs w:val="24"/>
          <w:highlight w:val="none"/>
          <w:lang w:val="en-US" w:eastAsia="zh-CN"/>
        </w:rPr>
        <w:t>服务</w:t>
      </w:r>
      <w:r>
        <w:rPr>
          <w:rFonts w:hint="eastAsia" w:ascii="仿宋" w:hAnsi="仿宋" w:eastAsia="仿宋" w:cs="仿宋"/>
          <w:color w:val="auto"/>
          <w:kern w:val="2"/>
          <w:sz w:val="24"/>
          <w:szCs w:val="24"/>
          <w:highlight w:val="none"/>
        </w:rPr>
        <w:t>需方（以下简称甲方）和成交人（以下简称乙方）应共同遵守的基本原则，并作为双方签约的依据。对于合同的其他条款，双方应本着互谅互让的精神协商解决。</w:t>
      </w:r>
    </w:p>
    <w:p>
      <w:pPr>
        <w:pStyle w:val="38"/>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40" w:lineRule="exact"/>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2.制定“合同主要条款”的依据是《中华人民共和国民法典》,有关磋商文件、响应文件、磋商小组文件、承诺书等均为本合同的附件，与本合同有同等效力，在本合同没有约定的情况下，按以上文件执行。</w:t>
      </w:r>
    </w:p>
    <w:p>
      <w:pPr>
        <w:keepNext w:val="0"/>
        <w:keepLines w:val="0"/>
        <w:pageBreakBefore w:val="0"/>
        <w:widowControl/>
        <w:kinsoku/>
        <w:wordWrap/>
        <w:overflowPunct/>
        <w:topLinePunct w:val="0"/>
        <w:autoSpaceDE/>
        <w:autoSpaceDN/>
        <w:bidi w:val="0"/>
        <w:adjustRightInd w:val="0"/>
        <w:snapToGrid w:val="0"/>
        <w:spacing w:beforeLines="0" w:after="0" w:afterLines="0" w:line="440" w:lineRule="exact"/>
        <w:ind w:firstLine="482" w:firstLineChars="200"/>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二、项目内容及合同金额</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仿宋" w:hAnsi="仿宋" w:eastAsia="仿宋" w:cs="仿宋"/>
          <w:b/>
          <w:color w:val="auto"/>
          <w:kern w:val="2"/>
          <w:highlight w:val="none"/>
        </w:rPr>
      </w:pP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482" w:firstLineChars="200"/>
        <w:jc w:val="both"/>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三、通知送达条款</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甲方通知送达地址：浙江省衢州市柯城区九华北大道78号。</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2400" w:firstLineChars="10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接收人：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，联系电话：</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乙方通知送达地址：</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2400" w:firstLineChars="10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接收人：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，联系电话：</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w:t>
      </w:r>
    </w:p>
    <w:p>
      <w:pPr>
        <w:pStyle w:val="38"/>
        <w:keepNext w:val="0"/>
        <w:keepLines w:val="0"/>
        <w:pageBreakBefore w:val="0"/>
        <w:kinsoku/>
        <w:wordWrap/>
        <w:topLinePunct w:val="0"/>
        <w:autoSpaceDE/>
        <w:autoSpaceDN/>
        <w:bidi w:val="0"/>
        <w:spacing w:before="0" w:beforeLines="0" w:beforeAutospacing="0" w:afterLines="0" w:afterAutospacing="0" w:line="440" w:lineRule="exact"/>
        <w:ind w:left="440" w:leftChars="200"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highlight w:val="none"/>
        </w:rPr>
        <w:t>甲方或乙方按照上述方式向对方发送函件或通知，不论对方是否签收或接收，书函自发送之日起三日、信息发送后即时即视为送达；双方确认，本送达方式亦为双方发生纠纷时法院的送达方式。</w:t>
      </w:r>
    </w:p>
    <w:p>
      <w:pPr>
        <w:pStyle w:val="19"/>
        <w:keepNext w:val="0"/>
        <w:keepLines w:val="0"/>
        <w:pageBreakBefore w:val="0"/>
        <w:numPr>
          <w:ilvl w:val="0"/>
          <w:numId w:val="0"/>
        </w:numPr>
        <w:tabs>
          <w:tab w:val="left" w:pos="297"/>
        </w:tabs>
        <w:kinsoku/>
        <w:wordWrap/>
        <w:topLinePunct w:val="0"/>
        <w:autoSpaceDE/>
        <w:autoSpaceDN/>
        <w:bidi w:val="0"/>
        <w:spacing w:beforeLines="0" w:afterLines="0" w:line="440" w:lineRule="exact"/>
        <w:ind w:left="440" w:leftChars="20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、付款方式</w:t>
      </w:r>
    </w:p>
    <w:p>
      <w:pPr>
        <w:pStyle w:val="38"/>
        <w:keepNext w:val="0"/>
        <w:keepLines w:val="0"/>
        <w:pageBreakBefore w:val="0"/>
        <w:kinsoku/>
        <w:wordWrap/>
        <w:topLinePunct w:val="0"/>
        <w:autoSpaceDE/>
        <w:autoSpaceDN/>
        <w:bidi w:val="0"/>
        <w:spacing w:before="0" w:beforeLines="0" w:beforeAutospacing="0" w:afterLines="0" w:afterAutospacing="0" w:line="440" w:lineRule="exact"/>
        <w:ind w:left="440" w:leftChars="200" w:firstLine="480" w:firstLineChars="200"/>
        <w:rPr>
          <w:rFonts w:hint="eastAsia" w:ascii="仿宋" w:hAnsi="仿宋" w:eastAsia="仿宋" w:cs="仿宋"/>
          <w:color w:val="auto"/>
          <w:kern w:val="2"/>
          <w:highlight w:val="none"/>
          <w:lang w:val="en-US"/>
        </w:rPr>
      </w:pPr>
    </w:p>
    <w:p>
      <w:pPr>
        <w:keepNext w:val="0"/>
        <w:keepLines w:val="0"/>
        <w:pageBreakBefore w:val="0"/>
        <w:widowControl/>
        <w:numPr>
          <w:ilvl w:val="0"/>
          <w:numId w:val="0"/>
        </w:numPr>
        <w:kinsoku/>
        <w:wordWrap/>
        <w:topLinePunct w:val="0"/>
        <w:autoSpaceDE/>
        <w:autoSpaceDN/>
        <w:bidi w:val="0"/>
        <w:spacing w:beforeLines="0" w:after="0" w:afterLines="0" w:line="44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bidi="ar-SA"/>
        </w:rPr>
        <w:t>五、</w:t>
      </w:r>
      <w:r>
        <w:rPr>
          <w:rFonts w:hint="eastAsia" w:ascii="仿宋" w:hAnsi="仿宋" w:eastAsia="仿宋" w:cs="仿宋"/>
          <w:b/>
          <w:color w:val="auto"/>
          <w:kern w:val="0"/>
          <w:sz w:val="24"/>
          <w:szCs w:val="24"/>
          <w:highlight w:val="none"/>
        </w:rPr>
        <w:t xml:space="preserve">甲方权利义务 </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2.负责检查监督乙方服务工作的实施情况。</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.国家法律、法规所规定由甲方承担的其它责任。 </w:t>
      </w:r>
    </w:p>
    <w:p>
      <w:pPr>
        <w:keepNext w:val="0"/>
        <w:keepLines w:val="0"/>
        <w:pageBreakBefore w:val="0"/>
        <w:kinsoku/>
        <w:wordWrap/>
        <w:topLinePunct w:val="0"/>
        <w:autoSpaceDE/>
        <w:autoSpaceDN/>
        <w:bidi w:val="0"/>
        <w:spacing w:beforeLines="0" w:after="0" w:afterLines="0" w:line="440" w:lineRule="exact"/>
        <w:ind w:firstLine="482" w:firstLineChars="20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六、乙方权利义务 </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1.对本合同规定的委托服务范围内的项目提供服务的义务。</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.及时向甲方通告本项目服务范围内有关服务的重大事项。</w:t>
      </w:r>
    </w:p>
    <w:p>
      <w:pPr>
        <w:pStyle w:val="24"/>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.接受项目行业管理部门及政府有关部门的指导，接受甲方的监督。</w:t>
      </w:r>
    </w:p>
    <w:p>
      <w:pPr>
        <w:pStyle w:val="24"/>
        <w:keepNext w:val="0"/>
        <w:keepLines w:val="0"/>
        <w:pageBreakBefore w:val="0"/>
        <w:widowControl/>
        <w:numPr>
          <w:ilvl w:val="-1"/>
          <w:numId w:val="0"/>
        </w:numPr>
        <w:kinsoku/>
        <w:wordWrap/>
        <w:topLinePunct w:val="0"/>
        <w:autoSpaceDE/>
        <w:autoSpaceDN/>
        <w:bidi w:val="0"/>
        <w:adjustRightInd/>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.国家法律、法规所规定由乙方承担的其它责任。</w:t>
      </w:r>
    </w:p>
    <w:p>
      <w:pPr>
        <w:pStyle w:val="24"/>
        <w:keepNext w:val="0"/>
        <w:keepLines w:val="0"/>
        <w:pageBreakBefore w:val="0"/>
        <w:widowControl/>
        <w:numPr>
          <w:ilvl w:val="-1"/>
          <w:numId w:val="0"/>
        </w:numPr>
        <w:kinsoku/>
        <w:wordWrap/>
        <w:topLinePunct w:val="0"/>
        <w:autoSpaceDE/>
        <w:autoSpaceDN/>
        <w:bidi w:val="0"/>
        <w:adjustRightInd/>
        <w:snapToGrid w:val="0"/>
        <w:spacing w:beforeLines="0" w:after="0" w:afterLines="0" w:line="440" w:lineRule="exact"/>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kern w:val="0"/>
          <w:sz w:val="24"/>
          <w:szCs w:val="24"/>
          <w:highlight w:val="none"/>
        </w:rPr>
        <w:t>违</w:t>
      </w:r>
      <w:r>
        <w:rPr>
          <w:rFonts w:hint="eastAsia" w:ascii="仿宋" w:hAnsi="仿宋" w:eastAsia="仿宋" w:cs="仿宋"/>
          <w:b/>
          <w:color w:val="auto"/>
          <w:kern w:val="0"/>
          <w:sz w:val="24"/>
          <w:szCs w:val="24"/>
          <w:highlight w:val="none"/>
        </w:rPr>
        <w:t>约责任</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48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1.甲乙双方必须遵守本合同并执行合同中的各项规定，保证本合同的正常履行。</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48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24"/>
        <w:keepNext w:val="0"/>
        <w:keepLines w:val="0"/>
        <w:pageBreakBefore w:val="0"/>
        <w:widowControl/>
        <w:numPr>
          <w:ilvl w:val="0"/>
          <w:numId w:val="0"/>
        </w:numPr>
        <w:kinsoku/>
        <w:wordWrap/>
        <w:topLinePunct w:val="0"/>
        <w:autoSpaceDE/>
        <w:autoSpaceDN/>
        <w:bidi w:val="0"/>
        <w:adjustRightInd w:val="0"/>
        <w:snapToGrid w:val="0"/>
        <w:spacing w:beforeLines="0" w:after="0" w:afterLines="0" w:line="440" w:lineRule="exact"/>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八、</w:t>
      </w:r>
      <w:r>
        <w:rPr>
          <w:rFonts w:hint="eastAsia" w:ascii="仿宋" w:hAnsi="仿宋" w:eastAsia="仿宋" w:cs="仿宋"/>
          <w:b/>
          <w:color w:val="auto"/>
          <w:kern w:val="0"/>
          <w:sz w:val="24"/>
          <w:szCs w:val="24"/>
          <w:highlight w:val="none"/>
        </w:rPr>
        <w:t>不可抗力事件处理</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508"/>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1.在履行合同期限内，任何一方因不可抗力事件所致不能履行合同，则合同履行期可延长，延长期与不可抗力影响期相同。</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508"/>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2.不可抗力事件发生后，应立即通知对方，并寄送有关权威机构出具的证明。</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508"/>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3.不可抗力事件延续60天以上，双方应通过友好协商，确定是否继续履行合同，协商不成的，任何一方均有权解除合同。</w:t>
      </w:r>
    </w:p>
    <w:p>
      <w:pPr>
        <w:keepNext w:val="0"/>
        <w:keepLines w:val="0"/>
        <w:pageBreakBefore w:val="0"/>
        <w:widowControl/>
        <w:kinsoku/>
        <w:wordWrap/>
        <w:topLinePunct w:val="0"/>
        <w:autoSpaceDE/>
        <w:autoSpaceDN/>
        <w:bidi w:val="0"/>
        <w:adjustRightInd w:val="0"/>
        <w:snapToGrid w:val="0"/>
        <w:spacing w:beforeLines="0" w:after="0" w:afterLines="0" w:line="440" w:lineRule="exact"/>
        <w:ind w:firstLine="566" w:firstLineChars="235"/>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九</w:t>
      </w:r>
      <w:r>
        <w:rPr>
          <w:rFonts w:hint="eastAsia" w:ascii="仿宋" w:hAnsi="仿宋" w:eastAsia="仿宋" w:cs="仿宋"/>
          <w:b/>
          <w:color w:val="auto"/>
          <w:kern w:val="0"/>
          <w:sz w:val="24"/>
          <w:szCs w:val="24"/>
          <w:highlight w:val="none"/>
        </w:rPr>
        <w:t>、争议的解决</w:t>
      </w:r>
    </w:p>
    <w:p>
      <w:pPr>
        <w:pStyle w:val="38"/>
        <w:keepNext w:val="0"/>
        <w:keepLines w:val="0"/>
        <w:pageBreakBefore w:val="0"/>
        <w:widowControl/>
        <w:suppressLineNumbers w:val="0"/>
        <w:kinsoku/>
        <w:wordWrap/>
        <w:topLinePunct w:val="0"/>
        <w:autoSpaceDE/>
        <w:autoSpaceDN/>
        <w:bidi w:val="0"/>
        <w:adjustRightInd w:val="0"/>
        <w:snapToGrid w:val="0"/>
        <w:spacing w:before="0" w:beforeLines="0" w:beforeAutospacing="0" w:after="0" w:afterLines="0" w:afterAutospacing="0" w:line="440" w:lineRule="exact"/>
        <w:ind w:left="0" w:firstLine="48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fill="FFFFFF"/>
        </w:rPr>
        <w:t>本合同在履行过程中产生纠纷时，双方应协商解决。如协商不成，任何一方有权向甲方所在地有管辖权的人民法院起诉，守约方因诉讼产生的诉讼费、保全费、保全担保费用均由败诉方承担。</w:t>
      </w:r>
    </w:p>
    <w:p>
      <w:pPr>
        <w:keepNext w:val="0"/>
        <w:keepLines w:val="0"/>
        <w:pageBreakBefore w:val="0"/>
        <w:widowControl/>
        <w:kinsoku/>
        <w:wordWrap/>
        <w:topLinePunct w:val="0"/>
        <w:autoSpaceDE/>
        <w:autoSpaceDN/>
        <w:bidi w:val="0"/>
        <w:spacing w:beforeLines="0" w:after="0" w:afterLines="0" w:line="440" w:lineRule="exact"/>
        <w:ind w:firstLine="566" w:firstLineChars="235"/>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十、合同</w:t>
      </w:r>
      <w:r>
        <w:rPr>
          <w:rFonts w:hint="eastAsia" w:ascii="仿宋" w:hAnsi="仿宋" w:eastAsia="仿宋" w:cs="仿宋"/>
          <w:b/>
          <w:color w:val="auto"/>
          <w:kern w:val="0"/>
          <w:sz w:val="24"/>
          <w:szCs w:val="24"/>
          <w:highlight w:val="none"/>
          <w:lang w:eastAsia="zh-CN"/>
        </w:rPr>
        <w:t>的</w:t>
      </w:r>
      <w:r>
        <w:rPr>
          <w:rFonts w:hint="eastAsia" w:ascii="仿宋" w:hAnsi="仿宋" w:eastAsia="仿宋" w:cs="仿宋"/>
          <w:b/>
          <w:color w:val="auto"/>
          <w:kern w:val="0"/>
          <w:sz w:val="24"/>
          <w:szCs w:val="24"/>
          <w:highlight w:val="none"/>
        </w:rPr>
        <w:t>生效</w:t>
      </w:r>
    </w:p>
    <w:p>
      <w:pPr>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1.本合同经甲方、乙方法定代表人或其委托人（委托书）签字并加盖双方公章后生效。</w:t>
      </w:r>
    </w:p>
    <w:p>
      <w:pPr>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w:t>
      </w:r>
      <w:r>
        <w:rPr>
          <w:rFonts w:hint="eastAsia" w:ascii="仿宋" w:hAnsi="仿宋" w:eastAsia="仿宋" w:cs="仿宋"/>
          <w:color w:val="auto"/>
          <w:sz w:val="24"/>
          <w:szCs w:val="24"/>
          <w:highlight w:val="none"/>
          <w:lang w:val="en-US" w:eastAsia="zh-CN"/>
        </w:rPr>
        <w:t>陆</w:t>
      </w:r>
      <w:r>
        <w:rPr>
          <w:rFonts w:hint="eastAsia" w:ascii="仿宋" w:hAnsi="仿宋" w:eastAsia="仿宋" w:cs="仿宋"/>
          <w:color w:val="auto"/>
          <w:sz w:val="24"/>
          <w:szCs w:val="24"/>
          <w:highlight w:val="none"/>
        </w:rPr>
        <w:t>份，甲、乙双方各执</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rPr>
        <w:t>份。</w:t>
      </w:r>
    </w:p>
    <w:p>
      <w:pPr>
        <w:keepNext w:val="0"/>
        <w:keepLines w:val="0"/>
        <w:pageBreakBefore w:val="0"/>
        <w:kinsoku/>
        <w:wordWrap/>
        <w:topLinePunct w:val="0"/>
        <w:autoSpaceDE/>
        <w:autoSpaceDN/>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3.本合同均为打印版本，手写部分未经甲方确认无效。</w:t>
      </w:r>
    </w:p>
    <w:p>
      <w:pPr>
        <w:pageBreakBefore w:val="0"/>
        <w:kinsoku/>
        <w:wordWrap/>
        <w:topLinePunct w:val="0"/>
        <w:bidi w:val="0"/>
        <w:snapToGrid w:val="0"/>
        <w:spacing w:beforeLines="0" w:after="0" w:afterLines="0"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pageBreakBefore w:val="0"/>
        <w:kinsoku/>
        <w:wordWrap/>
        <w:topLinePunct w:val="0"/>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甲方单位名称（公章）：           乙方单位名称（公章）：</w:t>
      </w:r>
    </w:p>
    <w:p>
      <w:pPr>
        <w:pageBreakBefore w:val="0"/>
        <w:kinsoku/>
        <w:wordWrap/>
        <w:topLinePunct w:val="0"/>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p>
    <w:p>
      <w:pPr>
        <w:pageBreakBefore w:val="0"/>
        <w:kinsoku/>
        <w:wordWrap/>
        <w:topLinePunct w:val="0"/>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    法定代表人或授权代表(签字)：</w:t>
      </w:r>
    </w:p>
    <w:p>
      <w:pPr>
        <w:pageBreakBefore w:val="0"/>
        <w:kinsoku/>
        <w:wordWrap/>
        <w:topLinePunct w:val="0"/>
        <w:bidi w:val="0"/>
        <w:snapToGrid w:val="0"/>
        <w:spacing w:beforeLines="0" w:after="0" w:afterLines="0" w:line="440" w:lineRule="exact"/>
        <w:ind w:firstLine="480" w:firstLineChars="200"/>
        <w:rPr>
          <w:rFonts w:hint="eastAsia" w:ascii="仿宋" w:hAnsi="仿宋" w:eastAsia="仿宋" w:cs="仿宋"/>
          <w:color w:val="auto"/>
          <w:sz w:val="24"/>
          <w:szCs w:val="24"/>
          <w:highlight w:val="none"/>
        </w:rPr>
      </w:pPr>
    </w:p>
    <w:p>
      <w:pPr>
        <w:pageBreakBefore w:val="0"/>
        <w:kinsoku/>
        <w:wordWrap/>
        <w:topLinePunct w:val="0"/>
        <w:bidi w:val="0"/>
        <w:adjustRightInd w:val="0"/>
        <w:snapToGrid w:val="0"/>
        <w:spacing w:beforeLines="0" w:after="0" w:afterLines="0" w:line="440" w:lineRule="exact"/>
        <w:ind w:firstLine="960" w:firstLineChars="4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合同签订日期：  年    月    日      </w:t>
      </w:r>
    </w:p>
    <w:p>
      <w:pPr>
        <w:pageBreakBefore w:val="0"/>
        <w:snapToGrid w:val="0"/>
        <w:spacing w:beforeLines="0" w:after="0" w:afterLines="0" w:line="440" w:lineRule="exact"/>
        <w:ind w:firstLine="482" w:firstLineChars="200"/>
        <w:rPr>
          <w:rFonts w:hint="eastAsia" w:ascii="仿宋" w:hAnsi="仿宋" w:eastAsia="仿宋" w:cs="仿宋"/>
          <w:b/>
          <w:color w:val="auto"/>
          <w:sz w:val="24"/>
          <w:szCs w:val="24"/>
          <w:highlight w:val="none"/>
        </w:rPr>
      </w:pPr>
    </w:p>
    <w:p>
      <w:pPr>
        <w:pageBreakBefore w:val="0"/>
        <w:snapToGrid w:val="0"/>
        <w:spacing w:beforeLines="0" w:after="0" w:afterLines="0" w:line="440" w:lineRule="exact"/>
        <w:ind w:firstLine="482" w:firstLineChars="200"/>
        <w:rPr>
          <w:rFonts w:hint="eastAsia" w:ascii="仿宋" w:hAnsi="仿宋" w:eastAsia="仿宋" w:cs="仿宋"/>
          <w:b/>
          <w:color w:val="auto"/>
          <w:sz w:val="24"/>
          <w:szCs w:val="24"/>
          <w:highlight w:val="none"/>
        </w:rPr>
      </w:pPr>
    </w:p>
    <w:p>
      <w:pPr>
        <w:pageBreakBefore w:val="0"/>
        <w:snapToGrid w:val="0"/>
        <w:spacing w:beforeLines="0" w:after="0" w:afterLines="0"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注：本合同仅作示范文本，具体以双方签定的正式合同为准，合同内容不得违背竞争性磋商文件、供应商响应文件及磋商现场承诺内容等实质性要求。</w:t>
      </w:r>
    </w:p>
    <w:p>
      <w:pPr>
        <w:pageBreakBefore w:val="0"/>
        <w:snapToGrid w:val="0"/>
        <w:spacing w:beforeLines="0" w:after="0" w:afterLines="0"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p>
    <w:p>
      <w:pPr>
        <w:pStyle w:val="3"/>
        <w:pageBreakBefore/>
        <w:numPr>
          <w:ilvl w:val="0"/>
          <w:numId w:val="0"/>
        </w:numPr>
        <w:spacing w:before="156" w:after="156"/>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lang w:val="zh-CN"/>
        </w:rPr>
        <w:t>第</w:t>
      </w:r>
      <w:r>
        <w:rPr>
          <w:rFonts w:hint="eastAsia" w:ascii="仿宋" w:hAnsi="仿宋" w:eastAsia="仿宋" w:cs="仿宋"/>
          <w:color w:val="auto"/>
          <w:sz w:val="36"/>
          <w:szCs w:val="36"/>
          <w:highlight w:val="none"/>
        </w:rPr>
        <w:t xml:space="preserve">五部分  </w:t>
      </w:r>
      <w:r>
        <w:rPr>
          <w:rFonts w:hint="eastAsia" w:ascii="仿宋" w:hAnsi="仿宋" w:eastAsia="仿宋" w:cs="仿宋"/>
          <w:color w:val="auto"/>
          <w:sz w:val="36"/>
          <w:szCs w:val="36"/>
          <w:highlight w:val="none"/>
          <w:lang w:val="zh-CN"/>
        </w:rPr>
        <w:t>磋商程序及评定成交标准</w:t>
      </w:r>
    </w:p>
    <w:p>
      <w:pPr>
        <w:pStyle w:val="5"/>
        <w:widowControl w:val="0"/>
        <w:numPr>
          <w:ilvl w:val="2"/>
          <w:numId w:val="0"/>
        </w:numPr>
        <w:adjustRightInd/>
        <w:snapToGrid/>
        <w:spacing w:beforeLines="0" w:after="0" w:afterLines="0" w:line="50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1.磋商是指对磋商文件响应程度及要求的服务、报价、售后服务承诺和供应商的信誉等进行确认并优化的过程。</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2.竞争性磋商内容：磋商文件中采购需求及相关服务，仅为基本需求及服务要求，供应商可以重新承诺优于或高于本磋商文件中的所有配置及服务承诺。</w:t>
      </w:r>
    </w:p>
    <w:p>
      <w:pPr>
        <w:pStyle w:val="5"/>
        <w:widowControl w:val="0"/>
        <w:numPr>
          <w:ilvl w:val="2"/>
          <w:numId w:val="0"/>
        </w:numPr>
        <w:adjustRightInd/>
        <w:snapToGrid/>
        <w:spacing w:beforeLines="0" w:after="0" w:afterLines="0" w:line="50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二、磋商小组人员组成</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1.本次采购采用竞争性磋商方式，采购人依法将组织</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人及以上磋商小组，其中采购人代表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名。磋商小组负责本次项目所有磋商任务，包括全程磋商、推荐磋商成交供应商、填写磋商采购结果报告等。</w:t>
      </w:r>
    </w:p>
    <w:p>
      <w:pPr>
        <w:pStyle w:val="19"/>
        <w:spacing w:beforeLines="0" w:afterLines="0" w:line="500" w:lineRule="exact"/>
        <w:ind w:left="0" w:leftChars="0"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2.磋商小组将按照磋商文件的有关规定和有关法律法规的规定，本着公平、公正、科学、择优的原则，对符合性审查合格的响应进行以下各方面的综合评议。</w:t>
      </w:r>
      <w:r>
        <w:rPr>
          <w:rFonts w:hint="eastAsia" w:ascii="仿宋" w:hAnsi="仿宋" w:eastAsia="仿宋" w:cs="仿宋"/>
          <w:b/>
          <w:bCs/>
          <w:color w:val="auto"/>
          <w:sz w:val="24"/>
          <w:highlight w:val="none"/>
        </w:rPr>
        <w:t>每个评委独立评分，所有评委评分的算术平均值为每个供应商的最终得分，最终得分</w:t>
      </w:r>
      <w:r>
        <w:rPr>
          <w:rFonts w:hint="eastAsia" w:ascii="仿宋" w:hAnsi="仿宋" w:eastAsia="仿宋" w:cs="仿宋"/>
          <w:b/>
          <w:bCs/>
          <w:color w:val="auto"/>
          <w:sz w:val="24"/>
          <w:highlight w:val="none"/>
          <w:lang w:val="en-US" w:eastAsia="zh-CN"/>
        </w:rPr>
        <w:t>四舍五入</w:t>
      </w:r>
      <w:r>
        <w:rPr>
          <w:rFonts w:hint="eastAsia" w:ascii="仿宋" w:hAnsi="仿宋" w:eastAsia="仿宋" w:cs="仿宋"/>
          <w:b/>
          <w:bCs/>
          <w:color w:val="auto"/>
          <w:sz w:val="24"/>
          <w:highlight w:val="none"/>
        </w:rPr>
        <w:t>保留2位小数。</w:t>
      </w:r>
    </w:p>
    <w:p>
      <w:pPr>
        <w:pStyle w:val="5"/>
        <w:widowControl w:val="0"/>
        <w:numPr>
          <w:ilvl w:val="2"/>
          <w:numId w:val="0"/>
        </w:numPr>
        <w:adjustRightInd/>
        <w:snapToGrid/>
        <w:spacing w:beforeLines="0" w:after="0" w:afterLines="0" w:line="50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三、注意事项</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1.各供应商只有在完全符合要求的前提下，才能参与正式磋商。</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2.澄清有关问题。磋商小组在对</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文件的有效性、完整性和响应程度进行审查时，可以要求供应商对</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文件中含义不明确、同类问题表述不一致或者有明显文字和计算错误的内容等作出必要的澄清、说明或者更正。供应商的澄清、说明或者更正不得超出</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文件的范围或者改变</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文件的实质性内容。</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3.磋商小组要求供应商澄清、说明或者更正</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文件应当以书面形式作出。供应商的澄清、说明或者更正应当由法定代表人（负责人）或其授权代表签字或者加盖公章。由授权代表签字的，应当附法定代表人（负责人）授权委托书。</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4.在磋商过程中磋商的任何一方不得向他人透露与磋商有关的技术资料、价格或其他信息。</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6.供应商在磋商时作出的所有书面承诺须由法定代表人（负责人）或其授权代表签字。</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7.经磋商确定最终采购需求且磋商结束后，供应商应当按照磋商文件的变动情况和磋商小组的要求重新提交</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文件或重新作出相关的书面承诺，最后书面提交最终报价及有关承诺。</w:t>
      </w:r>
    </w:p>
    <w:p>
      <w:pPr>
        <w:pStyle w:val="19"/>
        <w:spacing w:beforeLines="0" w:afterLines="0" w:line="50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8.磋商小组采用综合评分法对提交最后报价的供应商的</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文件和最后报价（含有效书面承诺）进行综合评分。综合评分法，是指</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满足磋商文件全部实质性要求且按照评审因素的量化指标评审得分最高的供应商为成交候选供应商的评审方法。供应商总得分为价格、技术商务等评定因素分别按照相应权重值计算分项得分后相加，满分为100分。</w:t>
      </w:r>
    </w:p>
    <w:p>
      <w:pPr>
        <w:pStyle w:val="19"/>
        <w:spacing w:beforeLines="0" w:afterLines="0" w:line="50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9.磋商小组各成员独立对每个实质性</w:t>
      </w:r>
      <w:r>
        <w:rPr>
          <w:rFonts w:ascii="仿宋" w:hAnsi="仿宋" w:eastAsia="仿宋" w:cs="仿宋"/>
          <w:color w:val="auto"/>
          <w:sz w:val="24"/>
          <w:highlight w:val="none"/>
        </w:rPr>
        <w:t>响应</w:t>
      </w:r>
      <w:r>
        <w:rPr>
          <w:rFonts w:hint="eastAsia" w:ascii="仿宋" w:hAnsi="仿宋" w:eastAsia="仿宋" w:cs="仿宋"/>
          <w:color w:val="auto"/>
          <w:sz w:val="24"/>
          <w:highlight w:val="none"/>
        </w:rPr>
        <w:t>文件进行评价、打分，然后汇总每个供应商每项评分因素的得分，并根据综合评分情况按照评审得分由高到低顺序推荐两名成交候选供应商，同时由磋商小组编写评审报告。若供应商的评审得分相同的，按照最后报价得分由高到低的顺序排列推荐；若报价得分和技术商务得分均相同的，则现场抽签确定。</w:t>
      </w:r>
    </w:p>
    <w:p>
      <w:pPr>
        <w:pStyle w:val="5"/>
        <w:numPr>
          <w:ilvl w:val="2"/>
          <w:numId w:val="0"/>
        </w:numPr>
        <w:spacing w:before="156" w:after="156"/>
        <w:ind w:firstLine="482" w:firstLineChars="200"/>
        <w:rPr>
          <w:rFonts w:ascii="仿宋" w:hAnsi="仿宋" w:eastAsia="仿宋" w:cs="仿宋"/>
          <w:color w:val="auto"/>
          <w:sz w:val="24"/>
          <w:szCs w:val="24"/>
          <w:highlight w:val="none"/>
        </w:rPr>
      </w:pPr>
    </w:p>
    <w:p>
      <w:pPr>
        <w:pStyle w:val="5"/>
        <w:numPr>
          <w:ilvl w:val="2"/>
          <w:numId w:val="0"/>
        </w:numPr>
        <w:spacing w:before="156" w:after="156"/>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pPr>
        <w:rPr>
          <w:rFonts w:ascii="Tahoma" w:hAnsi="Tahoma" w:eastAsia="微软雅黑" w:cs="Times New Roman"/>
          <w:color w:val="auto"/>
          <w:sz w:val="22"/>
          <w:szCs w:val="22"/>
          <w:highlight w:val="none"/>
          <w:lang w:val="en-US" w:eastAsia="zh-CN" w:bidi="ar-SA"/>
        </w:rPr>
      </w:pPr>
    </w:p>
    <w:p>
      <w:pPr>
        <w:pStyle w:val="5"/>
        <w:numPr>
          <w:ilvl w:val="2"/>
          <w:numId w:val="0"/>
        </w:numPr>
        <w:spacing w:beforeLines="0" w:after="0" w:afterLines="0"/>
        <w:ind w:left="567"/>
        <w:rPr>
          <w:rFonts w:ascii="仿宋" w:hAnsi="仿宋" w:eastAsia="仿宋" w:cs="仿宋"/>
          <w:color w:val="auto"/>
          <w:highlight w:val="none"/>
        </w:rPr>
      </w:pPr>
      <w:r>
        <w:rPr>
          <w:rFonts w:hint="eastAsia" w:ascii="仿宋" w:hAnsi="仿宋" w:eastAsia="仿宋" w:cs="仿宋"/>
          <w:color w:val="auto"/>
          <w:sz w:val="24"/>
          <w:szCs w:val="24"/>
          <w:highlight w:val="none"/>
        </w:rPr>
        <w:t>四、评分标准</w:t>
      </w:r>
    </w:p>
    <w:tbl>
      <w:tblPr>
        <w:tblStyle w:val="41"/>
        <w:tblW w:w="9767"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290"/>
        <w:gridCol w:w="1056"/>
        <w:gridCol w:w="6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2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评分要素</w:t>
            </w:r>
          </w:p>
        </w:tc>
        <w:tc>
          <w:tcPr>
            <w:tcW w:w="10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6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评审细则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290"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napToGrid/>
                <w:color w:val="auto"/>
                <w:kern w:val="0"/>
                <w:sz w:val="24"/>
                <w:szCs w:val="24"/>
                <w:highlight w:val="none"/>
                <w:u w:val="none"/>
                <w:shd w:val="clear"/>
                <w:lang w:val="en-US" w:eastAsia="zh-CN" w:bidi="ar"/>
              </w:rPr>
              <w:t>经营</w:t>
            </w:r>
            <w:r>
              <w:rPr>
                <w:rFonts w:hint="eastAsia" w:ascii="仿宋" w:hAnsi="仿宋" w:eastAsia="仿宋" w:cs="仿宋"/>
                <w:snapToGrid/>
                <w:color w:val="auto"/>
                <w:kern w:val="0"/>
                <w:sz w:val="24"/>
                <w:szCs w:val="24"/>
                <w:highlight w:val="none"/>
                <w:u w:val="none"/>
                <w:shd w:val="clear"/>
                <w:lang w:bidi="ar"/>
              </w:rPr>
              <w:t>状况</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snapToGrid w:val="0"/>
              <w:spacing w:after="0" w:line="240" w:lineRule="auto"/>
              <w:ind w:firstLine="0" w:firstLineChars="0"/>
              <w:jc w:val="left"/>
              <w:textAlignment w:val="center"/>
              <w:rPr>
                <w:rFonts w:hint="eastAsia" w:ascii="仿宋" w:hAnsi="仿宋" w:eastAsia="仿宋" w:cs="仿宋"/>
                <w:snapToGrid/>
                <w:color w:val="auto"/>
                <w:kern w:val="0"/>
                <w:sz w:val="24"/>
                <w:szCs w:val="24"/>
                <w:highlight w:val="none"/>
                <w:u w:val="none"/>
                <w:shd w:val="clear"/>
                <w:lang w:val="en-US" w:eastAsia="zh-CN" w:bidi="ar"/>
              </w:rPr>
            </w:pPr>
            <w:r>
              <w:rPr>
                <w:rFonts w:hint="eastAsia" w:ascii="仿宋" w:hAnsi="仿宋" w:eastAsia="仿宋" w:cs="仿宋"/>
                <w:snapToGrid/>
                <w:color w:val="auto"/>
                <w:kern w:val="0"/>
                <w:sz w:val="24"/>
                <w:szCs w:val="24"/>
                <w:highlight w:val="none"/>
                <w:u w:val="none"/>
                <w:shd w:val="clear"/>
                <w:lang w:val="en-US" w:eastAsia="zh-CN" w:bidi="ar"/>
              </w:rPr>
              <w:t>以市人民银行提供的2025年9月末净利润同比增速排名为依据，按响应人由高到低排名，第一名得3分，排名每降一名减0.3分，扣完为止。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290"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0-3分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snapToGrid w:val="0"/>
              <w:spacing w:after="0" w:line="240" w:lineRule="auto"/>
              <w:ind w:firstLine="0" w:firstLineChars="0"/>
              <w:jc w:val="left"/>
              <w:textAlignment w:val="center"/>
              <w:rPr>
                <w:rFonts w:hint="eastAsia" w:ascii="仿宋" w:hAnsi="仿宋" w:eastAsia="仿宋" w:cs="仿宋"/>
                <w:snapToGrid/>
                <w:color w:val="auto"/>
                <w:kern w:val="0"/>
                <w:sz w:val="24"/>
                <w:szCs w:val="24"/>
                <w:highlight w:val="none"/>
                <w:u w:val="none"/>
                <w:shd w:val="clear"/>
                <w:lang w:val="en-US" w:eastAsia="zh-CN" w:bidi="ar"/>
              </w:rPr>
            </w:pPr>
            <w:r>
              <w:rPr>
                <w:rFonts w:hint="eastAsia" w:ascii="仿宋" w:hAnsi="仿宋" w:eastAsia="仿宋" w:cs="仿宋"/>
                <w:snapToGrid/>
                <w:color w:val="auto"/>
                <w:kern w:val="0"/>
                <w:sz w:val="24"/>
                <w:szCs w:val="24"/>
                <w:highlight w:val="none"/>
                <w:u w:val="none"/>
                <w:shd w:val="clear"/>
                <w:lang w:val="en-US" w:eastAsia="zh-CN" w:bidi="ar"/>
              </w:rPr>
              <w:t>以市人民银行提供的2025年9月末各项贷款余额为依据，按响应人由高到低排名，第一名得3分，排名每降一名减 0.3分，扣完为止。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29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snapToGrid w:val="0"/>
              <w:spacing w:after="0" w:line="240" w:lineRule="auto"/>
              <w:ind w:firstLine="0" w:firstLineChars="0"/>
              <w:jc w:val="left"/>
              <w:textAlignment w:val="center"/>
              <w:rPr>
                <w:rFonts w:hint="eastAsia" w:ascii="仿宋" w:hAnsi="仿宋" w:eastAsia="仿宋" w:cs="仿宋"/>
                <w:snapToGrid/>
                <w:color w:val="auto"/>
                <w:kern w:val="0"/>
                <w:sz w:val="24"/>
                <w:szCs w:val="24"/>
                <w:highlight w:val="none"/>
                <w:u w:val="none"/>
                <w:shd w:val="clear"/>
                <w:lang w:val="en-US" w:eastAsia="zh-CN" w:bidi="ar"/>
              </w:rPr>
            </w:pPr>
            <w:r>
              <w:rPr>
                <w:rFonts w:hint="eastAsia" w:ascii="仿宋" w:hAnsi="仿宋" w:eastAsia="仿宋" w:cs="仿宋"/>
                <w:snapToGrid/>
                <w:color w:val="auto"/>
                <w:kern w:val="0"/>
                <w:sz w:val="24"/>
                <w:szCs w:val="24"/>
                <w:highlight w:val="none"/>
                <w:u w:val="none"/>
                <w:shd w:val="clear"/>
                <w:lang w:val="en-US" w:eastAsia="zh-CN" w:bidi="ar"/>
              </w:rPr>
              <w:t>根据市人民银行 2024 年行政处罚情况为评分依据。市人民银行对响应人无处罚的得4分，有处罚的得0分。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290" w:type="dxa"/>
            <w:vMerge w:val="restart"/>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经济</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贡献度</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snapToGrid w:val="0"/>
              <w:spacing w:after="0" w:line="240" w:lineRule="auto"/>
              <w:ind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根据衢州市人民政府办公室2024年度金融机构支持衢州高质量发展评价结果，排名第一的得 2分，排名每降一名减0.2分，扣完为止。</w:t>
            </w:r>
          </w:p>
          <w:p>
            <w:pPr>
              <w:snapToGrid w:val="0"/>
              <w:spacing w:after="0" w:line="240" w:lineRule="auto"/>
              <w:ind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注：提供相关证明材料扫描件，未提供不得分。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29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snapToGrid w:val="0"/>
              <w:spacing w:after="0" w:line="240" w:lineRule="auto"/>
              <w:ind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2024年度衢州市银行业金融机构综合评价A级得2分，B级得1.8分，其他不得分。</w:t>
            </w:r>
          </w:p>
          <w:p>
            <w:pPr>
              <w:snapToGrid w:val="0"/>
              <w:spacing w:after="0" w:line="240" w:lineRule="auto"/>
              <w:ind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注：提供相关证明材料扫描件，未提供不得分。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利率水平</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利率水平为响应人承诺的活期账户存款利率，符合国家利率政策规定和浙江省市场利率定价自律机制要求，并且已达到各家银行自身授权所加 BP 上限，不达上限不得分，活期账户存款利率最高的得4分，排名每降一名减0.3分，扣完为止。</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注：提供相关证明材料扫描件，未提供不得分。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技术服务能力</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根据响应人技术服务能力情况（服务智能化、便捷化、人性化、多样化）进行打分。（评分范围：5,4,3,2,1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90" w:type="dxa"/>
            <w:vMerge w:val="restart"/>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对公结算服务方案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根据响应人提供的协助学校开立各类银行账户服务方案进行打分。（评分范围：2,</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90"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根据响应人提供的财务资金管理服务方案（包括复旦天翼财务系统银行接口转换）进行打分。（评分范围：3,2,1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29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根据响应人提供的网银服务方案进行打分。（评分范围：2,</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代发教职工薪酬服务方案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根据响应人提供的代发教职工薪酬服务方案进行打分。（评分范围：4,3,2,1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授信业务服务方案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根据响应人提供的授信业务服务方案综进行打分。（评分范围：4,3,2,1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大学生助学贷款实施方案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根据响应人提供的大学生助学贷款实施方案进行打分。（评分范围：4,3,2,1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校园一卡通服务方案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根据响应人提供的校园一卡通服务方案进行打分。（评分范围：4,3,2,1</w:t>
            </w:r>
            <w:r>
              <w:rPr>
                <w:rFonts w:hint="default"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290" w:type="dxa"/>
            <w:vMerge w:val="restart"/>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银校合作人才培养方案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根据响应人提供的校外实习基地建设方案进行打分。（评分范围：2,1.5</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290"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根据响应人提供的教师实践平台建设方案进行打分。（评分范围：2,</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29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根据响应人提供的继续教育和职业培训合作方案进行打分。（评分范围：2,</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1"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290" w:type="dxa"/>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其他优惠措施</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根据响应人提供的合作期内优惠服务承诺及相关合作成效进行打分。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1.支持学校办学资源拓展，包括不限于教育基金发展、毕业生留衢、专业共建等增值服务。（评分范围：6,5,4,3,2,1,0）</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各项费用减免增值服务。</w:t>
            </w:r>
            <w:r>
              <w:rPr>
                <w:rFonts w:hint="eastAsia" w:ascii="仿宋" w:hAnsi="仿宋" w:eastAsia="仿宋" w:cs="仿宋"/>
                <w:color w:val="auto"/>
                <w:sz w:val="24"/>
                <w:szCs w:val="24"/>
                <w:highlight w:val="none"/>
                <w:lang w:val="en-US" w:eastAsia="zh-CN"/>
              </w:rPr>
              <w:t>（评分范围：2,</w:t>
            </w: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,0.5,0</w:t>
            </w:r>
            <w:r>
              <w:rPr>
                <w:rFonts w:hint="eastAsia" w:ascii="仿宋" w:hAnsi="仿宋" w:eastAsia="仿宋" w:cs="仿宋"/>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7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w:t>
            </w:r>
          </w:p>
        </w:tc>
        <w:tc>
          <w:tcPr>
            <w:tcW w:w="12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pPr>
              <w:spacing w:after="0" w:line="240" w:lineRule="auto"/>
              <w:jc w:val="center"/>
              <w:textAlignment w:val="center"/>
              <w:rPr>
                <w:rFonts w:hint="default"/>
                <w:color w:val="auto"/>
                <w:highlight w:val="none"/>
                <w:lang w:val="en-US"/>
              </w:rPr>
            </w:pPr>
            <w:r>
              <w:rPr>
                <w:rFonts w:hint="eastAsia" w:ascii="仿宋" w:hAnsi="仿宋" w:eastAsia="仿宋" w:cs="仿宋"/>
                <w:i w:val="0"/>
                <w:iCs w:val="0"/>
                <w:color w:val="auto"/>
                <w:kern w:val="0"/>
                <w:sz w:val="24"/>
                <w:szCs w:val="24"/>
                <w:highlight w:val="none"/>
                <w:u w:val="none"/>
                <w:lang w:val="en-US" w:eastAsia="zh-CN" w:bidi="ar"/>
              </w:rPr>
              <w:t>（投资额）</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0-40分</w:t>
            </w:r>
          </w:p>
        </w:tc>
        <w:tc>
          <w:tcPr>
            <w:tcW w:w="6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基准价为所有满足</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要求的有效报价的算术平均值。</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最终报价≧基准价，商务分计算公式：</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position w:val="-26"/>
                <w:sz w:val="24"/>
                <w:szCs w:val="24"/>
                <w:highlight w:val="none"/>
              </w:rPr>
              <w:object>
                <v:shape id="_x0000_i1025" o:spt="75" type="#_x0000_t75" style="height:33pt;width:210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最终报价﹤基准价，商务分计算公式：</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position w:val="-26"/>
                <w:sz w:val="24"/>
                <w:szCs w:val="24"/>
                <w:highlight w:val="none"/>
              </w:rPr>
              <w:object>
                <v:shape id="_x0000_i1026" o:spt="75" type="#_x0000_t75" style="height:33pt;width:180pt;" o:ole="t"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注：1.报价低于</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00万元的为无效</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文件，不参与计算。</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auto"/>
                <w:sz w:val="24"/>
                <w:szCs w:val="24"/>
                <w:highlight w:val="none"/>
              </w:rPr>
              <w:t>2.报价分计算结果保留两位小数。</w:t>
            </w:r>
          </w:p>
        </w:tc>
      </w:tr>
    </w:tbl>
    <w:p>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pPr>
        <w:pStyle w:val="3"/>
        <w:numPr>
          <w:ilvl w:val="0"/>
          <w:numId w:val="0"/>
        </w:numPr>
        <w:spacing w:before="156" w:afterLines="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第六部分</w:t>
      </w:r>
      <w:r>
        <w:rPr>
          <w:rFonts w:ascii="仿宋" w:hAnsi="仿宋" w:eastAsia="仿宋" w:cs="仿宋"/>
          <w:color w:val="auto"/>
          <w:sz w:val="36"/>
          <w:szCs w:val="36"/>
          <w:highlight w:val="none"/>
        </w:rPr>
        <w:t xml:space="preserve"> 响应</w:t>
      </w:r>
      <w:r>
        <w:rPr>
          <w:rFonts w:hint="eastAsia" w:ascii="仿宋" w:hAnsi="仿宋" w:eastAsia="仿宋" w:cs="仿宋"/>
          <w:color w:val="auto"/>
          <w:sz w:val="36"/>
          <w:szCs w:val="36"/>
          <w:highlight w:val="none"/>
        </w:rPr>
        <w:t>文件相关格式</w:t>
      </w:r>
      <w:bookmarkEnd w:id="42"/>
    </w:p>
    <w:p>
      <w:pPr>
        <w:spacing w:line="312" w:lineRule="auto"/>
        <w:jc w:val="center"/>
        <w:outlineLvl w:val="1"/>
        <w:rPr>
          <w:rStyle w:val="85"/>
          <w:rFonts w:ascii="仿宋" w:hAnsi="仿宋" w:eastAsia="仿宋" w:cs="仿宋"/>
          <w:color w:val="auto"/>
          <w:sz w:val="24"/>
          <w:szCs w:val="24"/>
          <w:highlight w:val="none"/>
        </w:rPr>
      </w:pPr>
      <w:bookmarkStart w:id="49" w:name="_Toc391380603"/>
      <w:bookmarkStart w:id="50" w:name="_Toc319"/>
      <w:r>
        <w:rPr>
          <w:rStyle w:val="85"/>
          <w:rFonts w:hint="eastAsia" w:ascii="仿宋" w:hAnsi="仿宋" w:eastAsia="仿宋" w:cs="仿宋"/>
          <w:color w:val="auto"/>
          <w:sz w:val="24"/>
          <w:szCs w:val="24"/>
          <w:highlight w:val="none"/>
        </w:rPr>
        <w:t>一、</w:t>
      </w:r>
      <w:r>
        <w:rPr>
          <w:rStyle w:val="85"/>
          <w:rFonts w:ascii="仿宋" w:hAnsi="仿宋" w:eastAsia="仿宋" w:cs="仿宋"/>
          <w:color w:val="auto"/>
          <w:sz w:val="24"/>
          <w:szCs w:val="24"/>
          <w:highlight w:val="none"/>
        </w:rPr>
        <w:t xml:space="preserve"> 响应</w:t>
      </w:r>
      <w:r>
        <w:rPr>
          <w:rStyle w:val="85"/>
          <w:rFonts w:hint="eastAsia" w:ascii="仿宋" w:hAnsi="仿宋" w:eastAsia="仿宋" w:cs="仿宋"/>
          <w:color w:val="auto"/>
          <w:sz w:val="24"/>
          <w:szCs w:val="24"/>
          <w:highlight w:val="none"/>
        </w:rPr>
        <w:t>文件封面</w:t>
      </w:r>
      <w:bookmarkEnd w:id="49"/>
      <w:bookmarkEnd w:id="50"/>
    </w:p>
    <w:p>
      <w:pPr>
        <w:spacing w:line="312" w:lineRule="auto"/>
        <w:ind w:left="1885" w:leftChars="857"/>
        <w:jc w:val="right"/>
        <w:rPr>
          <w:rFonts w:ascii="仿宋" w:hAnsi="仿宋" w:eastAsia="仿宋" w:cs="仿宋"/>
          <w:color w:val="auto"/>
          <w:sz w:val="24"/>
          <w:szCs w:val="24"/>
          <w:highlight w:val="none"/>
        </w:rPr>
      </w:pPr>
    </w:p>
    <w:p>
      <w:pPr>
        <w:spacing w:line="312" w:lineRule="auto"/>
        <w:rPr>
          <w:rFonts w:ascii="仿宋" w:hAnsi="仿宋" w:eastAsia="仿宋" w:cs="仿宋"/>
          <w:color w:val="auto"/>
          <w:sz w:val="30"/>
          <w:szCs w:val="30"/>
          <w:highlight w:val="none"/>
        </w:rPr>
      </w:pPr>
    </w:p>
    <w:p>
      <w:pPr>
        <w:pStyle w:val="2"/>
        <w:ind w:firstLine="0"/>
        <w:rPr>
          <w:rFonts w:ascii="仿宋" w:hAnsi="仿宋" w:eastAsia="仿宋" w:cs="仿宋"/>
          <w:color w:val="auto"/>
          <w:highlight w:val="none"/>
          <w:lang w:eastAsia="zh-CN"/>
        </w:rPr>
      </w:pPr>
    </w:p>
    <w:p>
      <w:pPr>
        <w:spacing w:line="312" w:lineRule="auto"/>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资格审查文件</w:t>
      </w:r>
    </w:p>
    <w:p>
      <w:pPr>
        <w:spacing w:line="312" w:lineRule="auto"/>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（或技术商务文件或报价文件）</w:t>
      </w:r>
    </w:p>
    <w:p>
      <w:pPr>
        <w:spacing w:line="312" w:lineRule="auto"/>
        <w:jc w:val="center"/>
        <w:rPr>
          <w:rFonts w:ascii="仿宋" w:hAnsi="仿宋" w:eastAsia="仿宋" w:cs="仿宋"/>
          <w:color w:val="auto"/>
          <w:sz w:val="36"/>
          <w:szCs w:val="36"/>
          <w:highlight w:val="none"/>
        </w:rPr>
      </w:pPr>
    </w:p>
    <w:p>
      <w:pPr>
        <w:spacing w:line="312" w:lineRule="auto"/>
        <w:ind w:firstLine="1962" w:firstLineChars="698"/>
        <w:rPr>
          <w:rFonts w:ascii="仿宋" w:hAnsi="仿宋" w:eastAsia="仿宋" w:cs="仿宋"/>
          <w:b/>
          <w:color w:val="auto"/>
          <w:sz w:val="28"/>
          <w:szCs w:val="28"/>
          <w:highlight w:val="none"/>
        </w:rPr>
      </w:pPr>
    </w:p>
    <w:p>
      <w:pPr>
        <w:spacing w:line="312" w:lineRule="auto"/>
        <w:ind w:firstLine="2940" w:firstLineChars="1050"/>
        <w:rPr>
          <w:rFonts w:ascii="仿宋" w:hAnsi="仿宋" w:eastAsia="仿宋" w:cs="仿宋"/>
          <w:color w:val="auto"/>
          <w:sz w:val="28"/>
          <w:szCs w:val="28"/>
          <w:highlight w:val="none"/>
        </w:rPr>
      </w:pPr>
      <w:bookmarkStart w:id="51" w:name="_Toc357410802"/>
    </w:p>
    <w:p>
      <w:pPr>
        <w:spacing w:line="312"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bookmarkEnd w:id="51"/>
    </w:p>
    <w:p>
      <w:pPr>
        <w:spacing w:line="312" w:lineRule="auto"/>
        <w:rPr>
          <w:rFonts w:ascii="仿宋" w:hAnsi="仿宋" w:eastAsia="仿宋" w:cs="仿宋"/>
          <w:color w:val="auto"/>
          <w:sz w:val="28"/>
          <w:szCs w:val="28"/>
          <w:highlight w:val="none"/>
          <w:u w:val="single"/>
        </w:rPr>
      </w:pPr>
      <w:bookmarkStart w:id="52" w:name="_Toc357410803"/>
      <w:r>
        <w:rPr>
          <w:rFonts w:hint="eastAsia" w:ascii="仿宋" w:hAnsi="仿宋" w:eastAsia="仿宋" w:cs="仿宋"/>
          <w:color w:val="auto"/>
          <w:sz w:val="28"/>
          <w:szCs w:val="28"/>
          <w:highlight w:val="none"/>
        </w:rPr>
        <w:t>项目编号：</w:t>
      </w:r>
      <w:bookmarkEnd w:id="52"/>
    </w:p>
    <w:p>
      <w:pPr>
        <w:spacing w:line="312" w:lineRule="auto"/>
        <w:rPr>
          <w:rFonts w:ascii="仿宋" w:hAnsi="仿宋" w:eastAsia="仿宋" w:cs="仿宋"/>
          <w:color w:val="auto"/>
          <w:sz w:val="28"/>
          <w:szCs w:val="28"/>
          <w:highlight w:val="none"/>
        </w:rPr>
      </w:pPr>
      <w:bookmarkStart w:id="53" w:name="_Toc357410804"/>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（盖章）</w:t>
      </w:r>
      <w:bookmarkEnd w:id="53"/>
    </w:p>
    <w:p>
      <w:pPr>
        <w:spacing w:line="312" w:lineRule="auto"/>
        <w:rPr>
          <w:rFonts w:ascii="仿宋" w:hAnsi="仿宋" w:eastAsia="仿宋" w:cs="仿宋"/>
          <w:color w:val="auto"/>
          <w:sz w:val="30"/>
          <w:szCs w:val="30"/>
          <w:highlight w:val="none"/>
        </w:rPr>
      </w:pPr>
      <w:bookmarkStart w:id="54" w:name="_Toc357410805"/>
      <w:r>
        <w:rPr>
          <w:rFonts w:hint="eastAsia" w:ascii="仿宋" w:hAnsi="仿宋" w:eastAsia="仿宋" w:cs="仿宋"/>
          <w:color w:val="auto"/>
          <w:sz w:val="28"/>
          <w:szCs w:val="28"/>
          <w:highlight w:val="none"/>
        </w:rPr>
        <w:t>日期： 年 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w:t>
      </w:r>
      <w:bookmarkEnd w:id="54"/>
    </w:p>
    <w:p>
      <w:pPr>
        <w:spacing w:line="312" w:lineRule="auto"/>
        <w:rPr>
          <w:rFonts w:ascii="仿宋" w:hAnsi="仿宋" w:eastAsia="仿宋" w:cs="仿宋"/>
          <w:color w:val="auto"/>
          <w:sz w:val="30"/>
          <w:szCs w:val="30"/>
          <w:highlight w:val="none"/>
        </w:rPr>
      </w:pPr>
    </w:p>
    <w:p>
      <w:pPr>
        <w:spacing w:line="312" w:lineRule="auto"/>
        <w:rPr>
          <w:rFonts w:ascii="仿宋" w:hAnsi="仿宋" w:eastAsia="仿宋" w:cs="仿宋"/>
          <w:color w:val="auto"/>
          <w:sz w:val="30"/>
          <w:szCs w:val="30"/>
          <w:highlight w:val="none"/>
        </w:rPr>
      </w:pPr>
    </w:p>
    <w:p>
      <w:pPr>
        <w:spacing w:line="312" w:lineRule="auto"/>
        <w:rPr>
          <w:rStyle w:val="85"/>
          <w:rFonts w:ascii="仿宋" w:hAnsi="仿宋" w:eastAsia="仿宋" w:cs="仿宋"/>
          <w:color w:val="auto"/>
          <w:szCs w:val="24"/>
          <w:highlight w:val="none"/>
        </w:rPr>
      </w:pPr>
    </w:p>
    <w:p>
      <w:pPr>
        <w:spacing w:line="312" w:lineRule="auto"/>
        <w:rPr>
          <w:rFonts w:ascii="仿宋" w:hAnsi="仿宋" w:eastAsia="仿宋" w:cs="仿宋"/>
          <w:b/>
          <w:color w:val="auto"/>
          <w:sz w:val="24"/>
          <w:szCs w:val="24"/>
          <w:highlight w:val="none"/>
        </w:rPr>
      </w:pPr>
    </w:p>
    <w:p>
      <w:pPr>
        <w:rPr>
          <w:rFonts w:hint="eastAsia"/>
          <w:color w:val="auto"/>
          <w:highlight w:val="none"/>
        </w:rPr>
      </w:pPr>
      <w:r>
        <w:rPr>
          <w:rFonts w:ascii="仿宋" w:hAnsi="仿宋" w:eastAsia="仿宋" w:cs="仿宋"/>
          <w:b/>
          <w:color w:val="auto"/>
          <w:sz w:val="24"/>
          <w:szCs w:val="24"/>
          <w:highlight w:val="none"/>
        </w:rPr>
        <w:br w:type="page"/>
      </w:r>
    </w:p>
    <w:p>
      <w:pPr>
        <w:pStyle w:val="5"/>
        <w:numPr>
          <w:ilvl w:val="0"/>
          <w:numId w:val="5"/>
        </w:numPr>
        <w:spacing w:before="156" w:after="156"/>
        <w:ind w:firstLine="482" w:firstLineChars="200"/>
        <w:jc w:val="center"/>
        <w:rPr>
          <w:rStyle w:val="50"/>
          <w:rFonts w:ascii="仿宋" w:hAnsi="仿宋" w:eastAsia="仿宋" w:cs="仿宋_GB2312"/>
          <w:b/>
          <w:color w:val="auto"/>
          <w:szCs w:val="24"/>
          <w:highlight w:val="none"/>
        </w:rPr>
      </w:pPr>
      <w:bookmarkStart w:id="55" w:name="_Toc1044"/>
      <w:bookmarkStart w:id="56" w:name="_Toc21306"/>
      <w:bookmarkStart w:id="57" w:name="_Toc4143"/>
      <w:bookmarkStart w:id="58" w:name="_Toc23350"/>
      <w:bookmarkStart w:id="59" w:name="资格审查文件"/>
      <w:bookmarkStart w:id="60" w:name="_Toc30854"/>
      <w:bookmarkStart w:id="61" w:name="_Toc212329295"/>
      <w:bookmarkStart w:id="62" w:name="_Toc212329302"/>
      <w:r>
        <w:rPr>
          <w:rStyle w:val="50"/>
          <w:rFonts w:hint="eastAsia" w:ascii="仿宋" w:hAnsi="仿宋" w:eastAsia="仿宋" w:cs="仿宋_GB2312"/>
          <w:b/>
          <w:color w:val="auto"/>
          <w:szCs w:val="24"/>
          <w:highlight w:val="none"/>
        </w:rPr>
        <w:t>资格审查文件</w:t>
      </w:r>
      <w:bookmarkEnd w:id="55"/>
      <w:bookmarkEnd w:id="56"/>
      <w:bookmarkEnd w:id="57"/>
      <w:bookmarkEnd w:id="58"/>
      <w:bookmarkEnd w:id="59"/>
      <w:bookmarkEnd w:id="60"/>
    </w:p>
    <w:p>
      <w:pPr>
        <w:pStyle w:val="5"/>
        <w:numPr>
          <w:ilvl w:val="2"/>
          <w:numId w:val="0"/>
        </w:numPr>
        <w:spacing w:before="156" w:after="156"/>
        <w:ind w:left="440" w:leftChars="200"/>
        <w:jc w:val="center"/>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1.响应函</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衢州学院</w:t>
      </w:r>
    </w:p>
    <w:p>
      <w:pPr>
        <w:spacing w:after="0" w:line="360" w:lineRule="auto"/>
        <w:ind w:firstLine="480" w:firstLineChars="200"/>
        <w:rPr>
          <w:rFonts w:ascii="仿宋" w:hAnsi="仿宋" w:eastAsia="仿宋" w:cs="仿宋"/>
          <w:color w:val="auto"/>
          <w:sz w:val="24"/>
          <w:szCs w:val="24"/>
          <w:highlight w:val="none"/>
        </w:rPr>
      </w:pPr>
      <w:bookmarkStart w:id="63" w:name="OLE_LINK3"/>
      <w:r>
        <w:rPr>
          <w:rFonts w:hint="eastAsia" w:ascii="仿宋" w:hAnsi="仿宋" w:eastAsia="仿宋" w:cs="仿宋"/>
          <w:color w:val="auto"/>
          <w:sz w:val="24"/>
          <w:szCs w:val="24"/>
          <w:highlight w:val="none"/>
        </w:rPr>
        <w:t>根据贵方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）的磋商公告，</w:t>
      </w:r>
      <w:r>
        <w:rPr>
          <w:rFonts w:hint="eastAsia" w:ascii="仿宋" w:hAnsi="仿宋" w:eastAsia="仿宋" w:cs="仿宋"/>
          <w:color w:val="auto"/>
          <w:sz w:val="24"/>
          <w:szCs w:val="24"/>
          <w:highlight w:val="none"/>
          <w:u w:val="single"/>
        </w:rPr>
        <w:t>（供应商全称）</w:t>
      </w:r>
      <w:r>
        <w:rPr>
          <w:rFonts w:hint="eastAsia" w:ascii="仿宋" w:hAnsi="仿宋" w:eastAsia="仿宋" w:cs="仿宋"/>
          <w:color w:val="auto"/>
          <w:sz w:val="24"/>
          <w:szCs w:val="24"/>
          <w:highlight w:val="none"/>
        </w:rPr>
        <w:t>正式授权</w:t>
      </w:r>
      <w:r>
        <w:rPr>
          <w:rFonts w:hint="eastAsia" w:ascii="仿宋" w:hAnsi="仿宋" w:eastAsia="仿宋" w:cs="仿宋"/>
          <w:color w:val="auto"/>
          <w:sz w:val="24"/>
          <w:szCs w:val="24"/>
          <w:highlight w:val="none"/>
          <w:u w:val="single"/>
        </w:rPr>
        <w:t xml:space="preserve">             （全名）</w:t>
      </w:r>
      <w:r>
        <w:rPr>
          <w:rFonts w:hint="eastAsia" w:ascii="仿宋" w:hAnsi="仿宋" w:eastAsia="仿宋" w:cs="仿宋"/>
          <w:color w:val="auto"/>
          <w:sz w:val="24"/>
          <w:szCs w:val="24"/>
          <w:highlight w:val="none"/>
        </w:rPr>
        <w:t>为授权代表，代表本单位参加贵方组织的此次采购的有关活动，并提交资格审查文件、技术商务文件、报价文件各一份。</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据此函，授权代表宣布同意如下：</w:t>
      </w:r>
    </w:p>
    <w:p>
      <w:pPr>
        <w:pStyle w:val="24"/>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1.我方向贵方提交的所有</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文件、资料都是准确的和真实的。</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2.我方已详细审查全部“采购文件”，包括修改文件（如有）以及全部参考资料和有关附件，已经了解我方对于采购文件、采购过程、采购结果有依法进行询问、质疑、投诉的权利及相关渠道和要求。</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之前已经完全理解并接受采购文件的各项规定和要求，对采购文件的合理性、合法性不再有异议。</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w:t>
      </w:r>
      <w:r>
        <w:rPr>
          <w:rFonts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文件递交截止之日起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天。</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5.如成交，本</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文件至本项目合同履行完毕止均保持有效，我方将按“采购文件”及采购法律法规的规定履行合同责任和义务。</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6.我方同意按照贵方要求提供与</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有关的一切数据或资料。</w:t>
      </w:r>
    </w:p>
    <w:p>
      <w:pPr>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7.与本</w:t>
      </w:r>
      <w:r>
        <w:rPr>
          <w:rFonts w:ascii="仿宋" w:hAnsi="仿宋" w:eastAsia="仿宋" w:cs="仿宋"/>
          <w:color w:val="auto"/>
          <w:sz w:val="24"/>
          <w:szCs w:val="24"/>
          <w:highlight w:val="none"/>
        </w:rPr>
        <w:t>响应</w:t>
      </w:r>
      <w:r>
        <w:rPr>
          <w:rFonts w:hint="eastAsia" w:ascii="仿宋" w:hAnsi="仿宋" w:eastAsia="仿宋" w:cs="仿宋"/>
          <w:color w:val="auto"/>
          <w:sz w:val="24"/>
          <w:szCs w:val="24"/>
          <w:highlight w:val="none"/>
        </w:rPr>
        <w:t>有关的一切正式往来信函请寄：</w:t>
      </w:r>
    </w:p>
    <w:p>
      <w:pPr>
        <w:spacing w:after="0" w:line="360" w:lineRule="auto"/>
        <w:rPr>
          <w:rFonts w:ascii="仿宋" w:hAnsi="仿宋" w:eastAsia="仿宋" w:cs="仿宋"/>
          <w:color w:val="auto"/>
          <w:sz w:val="24"/>
          <w:szCs w:val="24"/>
          <w:highlight w:val="none"/>
        </w:rPr>
      </w:pP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授权代表姓名：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（盖章）                                   </w:t>
      </w:r>
    </w:p>
    <w:p>
      <w:pPr>
        <w:widowControl w:val="0"/>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法定代表人（负责人）或授权代表：</w:t>
      </w:r>
      <w:r>
        <w:rPr>
          <w:rFonts w:hint="eastAsia" w:ascii="仿宋" w:hAnsi="仿宋" w:eastAsia="仿宋" w:cs="仿宋"/>
          <w:color w:val="auto"/>
          <w:sz w:val="24"/>
          <w:szCs w:val="24"/>
          <w:highlight w:val="none"/>
          <w:u w:val="single"/>
        </w:rPr>
        <w:t xml:space="preserve">       （签字或盖章）</w:t>
      </w:r>
    </w:p>
    <w:p>
      <w:pPr>
        <w:spacing w:after="0" w:line="360" w:lineRule="auto"/>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bookmarkEnd w:id="63"/>
    </w:p>
    <w:p>
      <w:pPr>
        <w:numPr>
          <w:ilvl w:val="2"/>
          <w:numId w:val="0"/>
        </w:numPr>
        <w:spacing w:before="156" w:after="0" w:line="360" w:lineRule="auto"/>
        <w:ind w:firstLine="482" w:firstLineChars="200"/>
        <w:jc w:val="both"/>
        <w:rPr>
          <w:rFonts w:ascii="仿宋" w:hAnsi="仿宋" w:eastAsia="仿宋" w:cs="仿宋"/>
          <w:b/>
          <w:bCs/>
          <w:color w:val="auto"/>
          <w:sz w:val="24"/>
          <w:szCs w:val="24"/>
          <w:highlight w:val="none"/>
        </w:rPr>
      </w:pPr>
    </w:p>
    <w:p>
      <w:pPr>
        <w:numPr>
          <w:ilvl w:val="2"/>
          <w:numId w:val="0"/>
        </w:numPr>
        <w:spacing w:before="156" w:after="0" w:line="360" w:lineRule="auto"/>
        <w:ind w:firstLine="482" w:firstLineChars="200"/>
        <w:jc w:val="both"/>
        <w:rPr>
          <w:rFonts w:ascii="仿宋" w:hAnsi="仿宋" w:eastAsia="仿宋" w:cs="仿宋"/>
          <w:b/>
          <w:bCs/>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64" w:name="_Hlk68791944"/>
      <w:r>
        <w:rPr>
          <w:rFonts w:hint="eastAsia" w:ascii="仿宋" w:hAnsi="仿宋" w:eastAsia="仿宋" w:cs="仿宋"/>
          <w:color w:val="auto"/>
          <w:sz w:val="24"/>
          <w:szCs w:val="24"/>
          <w:highlight w:val="none"/>
        </w:rPr>
        <w:t>.资格声明</w:t>
      </w:r>
    </w:p>
    <w:bookmarkEnd w:id="64"/>
    <w:p>
      <w:pPr>
        <w:spacing w:line="500" w:lineRule="exact"/>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lang w:eastAsia="zh-CN"/>
        </w:rPr>
        <w:t>衢州学院</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u w:val="single"/>
        </w:rPr>
        <w:t>（供应商名称）</w:t>
      </w:r>
      <w:r>
        <w:rPr>
          <w:rFonts w:hint="eastAsia" w:ascii="仿宋" w:hAnsi="仿宋" w:eastAsia="仿宋" w:cs="仿宋_GB2312"/>
          <w:color w:val="auto"/>
          <w:sz w:val="24"/>
          <w:szCs w:val="24"/>
          <w:highlight w:val="none"/>
        </w:rPr>
        <w:t>系中华人民共和国合法企业，经营地址</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我</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（姓名）系</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（供应商名称）的法定代表人（负责人），我方愿意参加贵方组织的</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项目的采购，为便于贵方公正、择优地确定成交供应商及其提供的产品和服务，我方就本次响应有关事项郑重声明如下：</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1.我方向贵方提交的所有</w:t>
      </w:r>
      <w:r>
        <w:rPr>
          <w:rFonts w:ascii="仿宋" w:hAnsi="仿宋" w:eastAsia="仿宋" w:cs="仿宋_GB2312"/>
          <w:color w:val="auto"/>
          <w:sz w:val="24"/>
          <w:szCs w:val="24"/>
          <w:highlight w:val="none"/>
        </w:rPr>
        <w:t>响应</w:t>
      </w:r>
      <w:r>
        <w:rPr>
          <w:rFonts w:hint="eastAsia" w:ascii="仿宋" w:hAnsi="仿宋" w:eastAsia="仿宋" w:cs="仿宋_GB2312"/>
          <w:color w:val="auto"/>
          <w:sz w:val="24"/>
          <w:szCs w:val="24"/>
          <w:highlight w:val="none"/>
        </w:rPr>
        <w:t>文件、资料都是准确的和真实的。</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2.我方不是采购人的附属机构；在获知本项目采购信息后，与采购人聘请的为此项目提供咨询服务的公司及其附属机构没有任何联系。</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3.我方及由本人担任法定代表人（负责人）的其他机构最近三年内被通报或者被处罚的违法行为有：</w:t>
      </w:r>
    </w:p>
    <w:p>
      <w:pPr>
        <w:spacing w:line="500" w:lineRule="exact"/>
        <w:ind w:firstLine="480" w:firstLineChars="200"/>
        <w:rPr>
          <w:rFonts w:ascii="仿宋" w:hAnsi="仿宋" w:eastAsia="仿宋" w:cs="仿宋_GB2312"/>
          <w:color w:val="auto"/>
          <w:sz w:val="24"/>
          <w:szCs w:val="24"/>
          <w:highlight w:val="none"/>
          <w:u w:val="single"/>
        </w:rPr>
      </w:pPr>
      <w:r>
        <w:rPr>
          <w:rFonts w:hint="eastAsia" w:ascii="仿宋" w:hAnsi="仿宋" w:eastAsia="仿宋" w:cs="仿宋_GB2312"/>
          <w:color w:val="auto"/>
          <w:sz w:val="24"/>
          <w:szCs w:val="24"/>
          <w:highlight w:val="none"/>
          <w:u w:val="single"/>
        </w:rPr>
        <w:t>　　　　　　　　　　　　　　　　　　　　　　　　　</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u w:val="single"/>
        </w:rPr>
        <w:t>　　　　　　　　　　　　　　　　　　　　　　　　　　</w:t>
      </w:r>
      <w:r>
        <w:rPr>
          <w:rFonts w:hint="eastAsia" w:ascii="仿宋" w:hAnsi="仿宋" w:eastAsia="仿宋" w:cs="仿宋_GB2312"/>
          <w:color w:val="auto"/>
          <w:sz w:val="24"/>
          <w:szCs w:val="24"/>
          <w:highlight w:val="none"/>
        </w:rPr>
        <w:t>　</w:t>
      </w:r>
    </w:p>
    <w:p>
      <w:pPr>
        <w:spacing w:line="500" w:lineRule="exact"/>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4.以上事项如有虚假或隐瞒，我方愿意承担一切后果，并不再寻求任何旨在减轻或免除法律责任的辩解。</w:t>
      </w:r>
    </w:p>
    <w:p>
      <w:pPr>
        <w:spacing w:line="500" w:lineRule="exact"/>
        <w:rPr>
          <w:rFonts w:ascii="仿宋" w:hAnsi="仿宋" w:eastAsia="仿宋" w:cs="仿宋_GB2312"/>
          <w:color w:val="auto"/>
          <w:sz w:val="24"/>
          <w:szCs w:val="24"/>
          <w:highlight w:val="none"/>
        </w:rPr>
      </w:pPr>
    </w:p>
    <w:p>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r>
        <w:rPr>
          <w:rFonts w:ascii="仿宋" w:hAnsi="仿宋" w:eastAsia="仿宋" w:cs="仿宋"/>
          <w:color w:val="auto"/>
          <w:sz w:val="24"/>
          <w:szCs w:val="24"/>
          <w:highlight w:val="none"/>
          <w:u w:val="single"/>
        </w:rPr>
        <w:t xml:space="preserve">            </w:t>
      </w:r>
    </w:p>
    <w:p>
      <w:pPr>
        <w:wordWrap w:val="0"/>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p>
    <w:p>
      <w:pPr>
        <w:spacing w:after="156" w:afterLines="50" w:line="360" w:lineRule="auto"/>
        <w:ind w:firstLine="480" w:firstLineChars="200"/>
        <w:rPr>
          <w:rFonts w:ascii="仿宋" w:hAnsi="仿宋" w:eastAsia="仿宋"/>
          <w:bCs/>
          <w:color w:val="auto"/>
          <w:sz w:val="24"/>
          <w:szCs w:val="24"/>
          <w:highlight w:val="none"/>
        </w:rPr>
      </w:pPr>
    </w:p>
    <w:p>
      <w:pPr>
        <w:rPr>
          <w:rFonts w:ascii="仿宋" w:hAnsi="仿宋" w:eastAsia="仿宋" w:cs="仿宋"/>
          <w:b/>
          <w:color w:val="auto"/>
          <w:highlight w:val="none"/>
        </w:rPr>
      </w:pPr>
    </w:p>
    <w:p>
      <w:pPr>
        <w:pStyle w:val="20"/>
        <w:ind w:left="440" w:firstLine="422"/>
        <w:rPr>
          <w:rFonts w:ascii="仿宋" w:hAnsi="仿宋" w:eastAsia="仿宋" w:cs="仿宋"/>
          <w:b/>
          <w:color w:val="auto"/>
          <w:highlight w:val="none"/>
        </w:rPr>
      </w:pPr>
    </w:p>
    <w:p>
      <w:pPr>
        <w:rPr>
          <w:rFonts w:ascii="仿宋" w:hAnsi="仿宋" w:eastAsia="仿宋" w:cs="仿宋"/>
          <w:b/>
          <w:color w:val="auto"/>
          <w:sz w:val="24"/>
          <w:szCs w:val="24"/>
          <w:highlight w:val="none"/>
        </w:rPr>
      </w:pPr>
      <w:r>
        <w:rPr>
          <w:rFonts w:ascii="仿宋" w:hAnsi="仿宋" w:eastAsia="仿宋" w:cs="仿宋"/>
          <w:b/>
          <w:color w:val="auto"/>
          <w:sz w:val="24"/>
          <w:szCs w:val="24"/>
          <w:highlight w:val="none"/>
        </w:rPr>
        <w:br w:type="page"/>
      </w:r>
    </w:p>
    <w:p>
      <w:pPr>
        <w:jc w:val="center"/>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3.法定代表人（负责人）身份证明</w:t>
      </w:r>
    </w:p>
    <w:p>
      <w:pPr>
        <w:pStyle w:val="24"/>
        <w:spacing w:line="360" w:lineRule="auto"/>
        <w:rPr>
          <w:rFonts w:ascii="仿宋" w:hAnsi="仿宋" w:eastAsia="仿宋" w:cs="仿宋"/>
          <w:color w:val="auto"/>
          <w:sz w:val="24"/>
          <w:szCs w:val="24"/>
          <w:highlight w:val="none"/>
        </w:rPr>
      </w:pPr>
    </w:p>
    <w:p>
      <w:pPr>
        <w:pStyle w:val="24"/>
        <w:spacing w:line="360" w:lineRule="auto"/>
        <w:ind w:firstLine="600" w:firstLineChars="2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p>
    <w:p>
      <w:pPr>
        <w:pStyle w:val="24"/>
        <w:spacing w:line="360" w:lineRule="auto"/>
        <w:ind w:firstLine="600" w:firstLineChars="2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单位性质：</w:t>
      </w:r>
    </w:p>
    <w:p>
      <w:pPr>
        <w:pStyle w:val="24"/>
        <w:spacing w:line="360" w:lineRule="auto"/>
        <w:ind w:firstLine="600" w:firstLineChars="2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p>
    <w:p>
      <w:pPr>
        <w:pStyle w:val="24"/>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r>
        <w:rPr>
          <w:rFonts w:ascii="仿宋" w:hAnsi="仿宋" w:eastAsia="仿宋" w:cs="仿宋"/>
          <w:color w:val="auto"/>
          <w:sz w:val="24"/>
          <w:szCs w:val="24"/>
          <w:highlight w:val="none"/>
          <w:u w:val="single"/>
        </w:rPr>
        <w:t xml:space="preserve">                             </w:t>
      </w:r>
    </w:p>
    <w:p>
      <w:pPr>
        <w:pStyle w:val="24"/>
        <w:spacing w:line="360" w:lineRule="auto"/>
        <w:ind w:firstLine="600" w:firstLineChars="2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经营期限：</w:t>
      </w:r>
    </w:p>
    <w:p>
      <w:pPr>
        <w:pStyle w:val="24"/>
        <w:spacing w:line="360" w:lineRule="auto"/>
        <w:ind w:firstLine="600" w:firstLineChars="2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性别：年龄：职务：</w:t>
      </w:r>
    </w:p>
    <w:p>
      <w:pPr>
        <w:pStyle w:val="24"/>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系（供应商名称）的法定代表人（负责人）。</w:t>
      </w:r>
    </w:p>
    <w:p>
      <w:pPr>
        <w:pStyle w:val="24"/>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24"/>
        <w:spacing w:line="360" w:lineRule="auto"/>
        <w:ind w:firstLine="602" w:firstLineChars="25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附：法定代表人（负责人）身份证复印件</w:t>
      </w:r>
    </w:p>
    <w:p>
      <w:pPr>
        <w:spacing w:line="360" w:lineRule="auto"/>
        <w:rPr>
          <w:rFonts w:ascii="仿宋" w:hAnsi="仿宋" w:eastAsia="仿宋" w:cs="仿宋"/>
          <w:color w:val="auto"/>
          <w:sz w:val="24"/>
          <w:szCs w:val="24"/>
          <w:highlight w:val="none"/>
        </w:rPr>
      </w:pPr>
    </w:p>
    <w:p>
      <w:pPr>
        <w:spacing w:line="360" w:lineRule="auto"/>
        <w:ind w:firstLine="480" w:firstLineChars="200"/>
        <w:rPr>
          <w:rFonts w:ascii="仿宋" w:hAnsi="仿宋" w:eastAsia="仿宋" w:cs="仿宋"/>
          <w:color w:val="auto"/>
          <w:sz w:val="24"/>
          <w:szCs w:val="24"/>
          <w:highlight w:val="none"/>
        </w:rPr>
      </w:pPr>
    </w:p>
    <w:p>
      <w:pPr>
        <w:spacing w:line="360" w:lineRule="auto"/>
        <w:ind w:firstLine="4903" w:firstLineChars="204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p>
    <w:p>
      <w:pPr>
        <w:spacing w:line="360" w:lineRule="auto"/>
        <w:ind w:firstLine="5160" w:firstLineChars="2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p>
    <w:p>
      <w:pPr>
        <w:spacing w:after="0" w:line="360" w:lineRule="auto"/>
        <w:jc w:val="center"/>
        <w:rPr>
          <w:rFonts w:ascii="仿宋" w:hAnsi="仿宋" w:eastAsia="仿宋" w:cs="仿宋"/>
          <w:b/>
          <w:color w:val="auto"/>
          <w:sz w:val="24"/>
          <w:szCs w:val="24"/>
          <w:highlight w:val="none"/>
        </w:rPr>
      </w:pPr>
    </w:p>
    <w:p>
      <w:pPr>
        <w:pStyle w:val="67"/>
        <w:rPr>
          <w:rFonts w:ascii="仿宋" w:hAnsi="仿宋" w:eastAsia="仿宋" w:cs="仿宋"/>
          <w:b/>
          <w:color w:val="auto"/>
          <w:sz w:val="24"/>
          <w:szCs w:val="24"/>
          <w:highlight w:val="none"/>
        </w:rPr>
      </w:pPr>
    </w:p>
    <w:p>
      <w:pPr>
        <w:rPr>
          <w:rStyle w:val="50"/>
          <w:rFonts w:ascii="仿宋" w:hAnsi="仿宋" w:eastAsia="仿宋" w:cs="仿宋_GB2312"/>
          <w:color w:val="auto"/>
          <w:szCs w:val="24"/>
          <w:highlight w:val="none"/>
        </w:rPr>
      </w:pPr>
      <w:bookmarkStart w:id="65" w:name="_Toc32356"/>
      <w:bookmarkStart w:id="66" w:name="_Toc4440"/>
      <w:bookmarkStart w:id="67" w:name="_Toc29504"/>
      <w:bookmarkStart w:id="68" w:name="_Toc26988"/>
      <w:bookmarkStart w:id="69" w:name="_Toc18176"/>
      <w:r>
        <w:rPr>
          <w:rStyle w:val="50"/>
          <w:rFonts w:hint="eastAsia" w:ascii="仿宋" w:hAnsi="仿宋" w:eastAsia="仿宋" w:cs="仿宋_GB2312"/>
          <w:color w:val="auto"/>
          <w:szCs w:val="24"/>
          <w:highlight w:val="none"/>
        </w:rPr>
        <w:br w:type="page"/>
      </w:r>
    </w:p>
    <w:p>
      <w:pPr>
        <w:spacing w:after="0"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4.法定代表人（负责人）授权书</w:t>
      </w:r>
    </w:p>
    <w:p>
      <w:pPr>
        <w:pStyle w:val="67"/>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衢州学院</w:t>
      </w:r>
      <w:r>
        <w:rPr>
          <w:rFonts w:hint="eastAsia" w:ascii="仿宋" w:hAnsi="仿宋" w:eastAsia="仿宋" w:cs="仿宋"/>
          <w:color w:val="auto"/>
          <w:sz w:val="24"/>
          <w:szCs w:val="24"/>
          <w:highlight w:val="none"/>
        </w:rPr>
        <w:t>：</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法定代表人（负责人）授权</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（全权代表姓名）</w:t>
      </w:r>
      <w:r>
        <w:rPr>
          <w:rFonts w:hint="eastAsia" w:ascii="仿宋" w:hAnsi="仿宋" w:eastAsia="仿宋" w:cs="仿宋"/>
          <w:color w:val="auto"/>
          <w:sz w:val="24"/>
          <w:szCs w:val="24"/>
          <w:highlight w:val="none"/>
        </w:rPr>
        <w:t>为全权代表，参加贵处组织的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（项目编号：      ）</w:t>
      </w:r>
      <w:r>
        <w:rPr>
          <w:rFonts w:hint="eastAsia" w:ascii="仿宋" w:hAnsi="仿宋" w:eastAsia="仿宋" w:cs="仿宋"/>
          <w:color w:val="auto"/>
          <w:sz w:val="24"/>
          <w:szCs w:val="24"/>
          <w:highlight w:val="none"/>
        </w:rPr>
        <w:t>的磋商活动，全权代表我方处理磋商活动中的一切事宜，在磋商过程中的一切活动我方均予承认。</w:t>
      </w:r>
    </w:p>
    <w:p>
      <w:pPr>
        <w:spacing w:after="0" w:line="360" w:lineRule="auto"/>
        <w:rPr>
          <w:rFonts w:ascii="仿宋" w:hAnsi="仿宋" w:eastAsia="仿宋" w:cs="仿宋"/>
          <w:color w:val="auto"/>
          <w:sz w:val="24"/>
          <w:szCs w:val="24"/>
          <w:highlight w:val="none"/>
        </w:rPr>
      </w:pP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bCs/>
          <w:color w:val="auto"/>
          <w:sz w:val="24"/>
          <w:szCs w:val="24"/>
          <w:highlight w:val="none"/>
        </w:rPr>
        <w:t>（负责人）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年   月   日</w:t>
      </w:r>
    </w:p>
    <w:p>
      <w:pPr>
        <w:spacing w:line="360" w:lineRule="auto"/>
        <w:rPr>
          <w:rFonts w:ascii="仿宋" w:hAnsi="仿宋" w:eastAsia="仿宋" w:cs="仿宋"/>
          <w:color w:val="auto"/>
          <w:sz w:val="24"/>
          <w:szCs w:val="24"/>
          <w:highlight w:val="none"/>
        </w:rPr>
      </w:pP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授权代表姓名：             性别：</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                     职称：</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移动电话：</w:t>
      </w:r>
    </w:p>
    <w:p>
      <w:pPr>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pPr>
        <w:spacing w:line="360" w:lineRule="auto"/>
        <w:rPr>
          <w:rFonts w:ascii="仿宋" w:hAnsi="仿宋" w:eastAsia="仿宋" w:cs="仿宋"/>
          <w:b/>
          <w:color w:val="auto"/>
          <w:sz w:val="24"/>
          <w:szCs w:val="24"/>
          <w:highlight w:val="none"/>
        </w:rPr>
      </w:pPr>
    </w:p>
    <w:p>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法定代表人（负责人）身份证</w:t>
      </w:r>
      <w:r>
        <w:rPr>
          <w:rFonts w:hint="eastAsia" w:ascii="仿宋" w:hAnsi="仿宋" w:eastAsia="仿宋" w:cs="仿宋"/>
          <w:b/>
          <w:bCs/>
          <w:color w:val="auto"/>
          <w:sz w:val="24"/>
          <w:szCs w:val="24"/>
          <w:highlight w:val="none"/>
        </w:rPr>
        <w:t>复印</w:t>
      </w:r>
      <w:r>
        <w:rPr>
          <w:rFonts w:hint="eastAsia" w:ascii="仿宋" w:hAnsi="仿宋" w:eastAsia="仿宋" w:cs="仿宋"/>
          <w:b/>
          <w:color w:val="auto"/>
          <w:sz w:val="24"/>
          <w:szCs w:val="24"/>
          <w:highlight w:val="none"/>
        </w:rPr>
        <w:t>件：</w:t>
      </w:r>
    </w:p>
    <w:p>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授权代表身份证</w:t>
      </w:r>
      <w:r>
        <w:rPr>
          <w:rFonts w:hint="eastAsia" w:ascii="仿宋" w:hAnsi="仿宋" w:eastAsia="仿宋" w:cs="仿宋"/>
          <w:b/>
          <w:bCs/>
          <w:color w:val="auto"/>
          <w:sz w:val="24"/>
          <w:szCs w:val="24"/>
          <w:highlight w:val="none"/>
        </w:rPr>
        <w:t>复印</w:t>
      </w:r>
      <w:r>
        <w:rPr>
          <w:rFonts w:hint="eastAsia" w:ascii="仿宋" w:hAnsi="仿宋" w:eastAsia="仿宋" w:cs="仿宋"/>
          <w:b/>
          <w:color w:val="auto"/>
          <w:sz w:val="24"/>
          <w:szCs w:val="24"/>
          <w:highlight w:val="none"/>
        </w:rPr>
        <w:t>件：</w:t>
      </w: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5.有效期内的营业执照（或事业法人登记证书或其他工商等登记证明材料）扫描件</w:t>
      </w:r>
    </w:p>
    <w:p>
      <w:pPr>
        <w:jc w:val="both"/>
        <w:rPr>
          <w:rFonts w:ascii="仿宋" w:hAnsi="仿宋" w:eastAsia="仿宋" w:cs="仿宋"/>
          <w:color w:val="auto"/>
          <w:sz w:val="24"/>
          <w:szCs w:val="24"/>
          <w:highlight w:val="none"/>
        </w:rPr>
      </w:pPr>
    </w:p>
    <w:p>
      <w:pPr>
        <w:jc w:val="both"/>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hint="default" w:ascii="仿宋" w:hAnsi="仿宋" w:eastAsia="仿宋" w:cs="仿宋"/>
          <w:color w:val="auto"/>
          <w:sz w:val="24"/>
          <w:szCs w:val="24"/>
          <w:highlight w:val="none"/>
          <w:lang w:val="en-US" w:eastAsia="zh-CN"/>
        </w:rPr>
      </w:pP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0"/>
        <w:jc w:val="center"/>
        <w:textAlignment w:val="baseline"/>
        <w:outlineLvl w:val="1"/>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.符合参加</w:t>
      </w:r>
      <w:r>
        <w:rPr>
          <w:rFonts w:hint="eastAsia" w:ascii="仿宋" w:hAnsi="仿宋" w:eastAsia="仿宋" w:cs="仿宋"/>
          <w:bCs/>
          <w:color w:val="auto"/>
          <w:sz w:val="24"/>
          <w:szCs w:val="24"/>
          <w:highlight w:val="none"/>
          <w:lang w:val="en-US" w:eastAsia="zh-CN"/>
        </w:rPr>
        <w:t>政府</w:t>
      </w:r>
      <w:r>
        <w:rPr>
          <w:rFonts w:hint="eastAsia" w:ascii="仿宋" w:hAnsi="仿宋" w:eastAsia="仿宋" w:cs="仿宋"/>
          <w:bCs/>
          <w:color w:val="auto"/>
          <w:sz w:val="24"/>
          <w:szCs w:val="24"/>
          <w:highlight w:val="none"/>
        </w:rPr>
        <w:t>采购活动应当具备的一般条件的承诺函</w:t>
      </w:r>
    </w:p>
    <w:p>
      <w:pPr>
        <w:spacing w:after="0" w:line="360" w:lineRule="auto"/>
        <w:rPr>
          <w:rFonts w:ascii="仿宋" w:hAnsi="仿宋" w:eastAsia="仿宋" w:cs="仿宋"/>
          <w:color w:val="auto"/>
          <w:sz w:val="24"/>
          <w:szCs w:val="24"/>
          <w:highlight w:val="none"/>
        </w:rPr>
      </w:pPr>
    </w:p>
    <w:p>
      <w:pPr>
        <w:spacing w:after="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bCs/>
          <w:color w:val="auto"/>
          <w:sz w:val="24"/>
          <w:szCs w:val="24"/>
          <w:highlight w:val="none"/>
          <w:lang w:eastAsia="zh-CN"/>
        </w:rPr>
        <w:t>衢州学院</w:t>
      </w:r>
    </w:p>
    <w:p>
      <w:pPr>
        <w:pStyle w:val="37"/>
        <w:spacing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w:t>
      </w:r>
      <w:r>
        <w:rPr>
          <w:rFonts w:hint="eastAsia" w:ascii="仿宋" w:hAnsi="仿宋" w:eastAsia="仿宋" w:cs="仿宋"/>
          <w:color w:val="auto"/>
          <w:sz w:val="24"/>
          <w:szCs w:val="24"/>
          <w:highlight w:val="none"/>
          <w:u w:val="single"/>
        </w:rPr>
        <w:t xml:space="preserve">       项目名称（项目编号：    ）</w:t>
      </w:r>
      <w:r>
        <w:rPr>
          <w:rFonts w:hint="eastAsia" w:ascii="仿宋" w:hAnsi="仿宋" w:eastAsia="仿宋" w:cs="仿宋"/>
          <w:color w:val="auto"/>
          <w:sz w:val="24"/>
          <w:szCs w:val="24"/>
          <w:highlight w:val="none"/>
        </w:rPr>
        <w:t>采购活动，郑重承诺：</w:t>
      </w:r>
    </w:p>
    <w:p>
      <w:pPr>
        <w:pStyle w:val="37"/>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outlineLvl w:val="9"/>
        <w:rPr>
          <w:rFonts w:hint="eastAsia" w:ascii="仿宋" w:hAnsi="仿宋" w:eastAsia="仿宋" w:cs="仿宋"/>
          <w:color w:val="auto"/>
          <w:sz w:val="24"/>
          <w:szCs w:val="24"/>
          <w:highlight w:val="none"/>
        </w:rPr>
      </w:pPr>
      <w:bookmarkStart w:id="70" w:name="_Toc11246"/>
      <w:bookmarkStart w:id="71" w:name="_Toc720"/>
      <w:bookmarkStart w:id="72" w:name="_Toc27259"/>
      <w:bookmarkStart w:id="73" w:name="_Toc7663"/>
      <w:bookmarkStart w:id="74" w:name="_Toc10062"/>
      <w:bookmarkStart w:id="75" w:name="_Toc41"/>
      <w:bookmarkStart w:id="76" w:name="_Toc21843"/>
      <w:bookmarkStart w:id="77" w:name="_Toc11593"/>
      <w:bookmarkStart w:id="78" w:name="_Toc26842"/>
      <w:bookmarkStart w:id="79" w:name="_Toc6784"/>
      <w:r>
        <w:rPr>
          <w:rFonts w:hint="eastAsia" w:ascii="仿宋" w:hAnsi="仿宋" w:eastAsia="仿宋" w:cs="仿宋"/>
          <w:color w:val="auto"/>
          <w:sz w:val="24"/>
          <w:szCs w:val="24"/>
          <w:highlight w:val="none"/>
        </w:rPr>
        <w:t>一、</w:t>
      </w:r>
      <w:bookmarkEnd w:id="70"/>
      <w:bookmarkEnd w:id="71"/>
      <w:bookmarkEnd w:id="72"/>
      <w:bookmarkEnd w:id="73"/>
      <w:bookmarkEnd w:id="74"/>
      <w:bookmarkEnd w:id="75"/>
      <w:bookmarkEnd w:id="76"/>
      <w:bookmarkEnd w:id="77"/>
      <w:bookmarkEnd w:id="78"/>
      <w:bookmarkEnd w:id="79"/>
      <w:r>
        <w:rPr>
          <w:rFonts w:hint="eastAsia" w:ascii="仿宋" w:hAnsi="仿宋" w:eastAsia="仿宋" w:cs="仿宋"/>
          <w:color w:val="auto"/>
          <w:sz w:val="24"/>
          <w:szCs w:val="24"/>
          <w:highlight w:val="none"/>
        </w:rPr>
        <w:t>具备《中华人民共和国政府采购法》第二十二条第一款规定的条件：</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2、具有良好的商业信誉和健全的财务会计制度； </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6、具有法律、行政法规规定的其他条件。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二、未被“信用中国”（www.creditchina.gov.cn）、中国政府采购网</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（www.ccgp.gov.cn）列入失信被执行人、重大税收违法案件当事人名单、</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采购严重违法失信行为记录名单。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、没有下列情形：</w:t>
      </w:r>
    </w:p>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1、单位负责人为同一人或者存在直接控股、管理关系的不同供应商参加</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同一合同项下的政府采购活动的；</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为采购项目提供整体设计、规范编制或者项目管理、监理、检测等服</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务后再参加该采购项目的其他采购活动的。</w:t>
      </w:r>
    </w:p>
    <w:p>
      <w:pPr>
        <w:spacing w:after="0" w:line="360" w:lineRule="auto"/>
        <w:ind w:firstLine="4320" w:firstLineChars="1800"/>
        <w:rPr>
          <w:rFonts w:ascii="仿宋" w:hAnsi="仿宋" w:eastAsia="仿宋" w:cs="仿宋"/>
          <w:color w:val="auto"/>
          <w:sz w:val="24"/>
          <w:szCs w:val="24"/>
          <w:highlight w:val="none"/>
        </w:rPr>
      </w:pPr>
    </w:p>
    <w:p>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r>
        <w:rPr>
          <w:rFonts w:ascii="仿宋" w:hAnsi="仿宋" w:eastAsia="仿宋" w:cs="仿宋"/>
          <w:color w:val="auto"/>
          <w:sz w:val="24"/>
          <w:szCs w:val="24"/>
          <w:highlight w:val="none"/>
          <w:u w:val="single"/>
        </w:rPr>
        <w:t xml:space="preserve">            </w:t>
      </w:r>
    </w:p>
    <w:p>
      <w:pPr>
        <w:wordWrap w:val="0"/>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p>
    <w:p>
      <w:pPr>
        <w:rPr>
          <w:rStyle w:val="50"/>
          <w:rFonts w:ascii="仿宋" w:hAnsi="仿宋" w:eastAsia="仿宋" w:cs="仿宋_GB2312"/>
          <w:color w:val="auto"/>
          <w:szCs w:val="24"/>
          <w:highlight w:val="none"/>
        </w:rPr>
      </w:pPr>
    </w:p>
    <w:p>
      <w:pPr>
        <w:rPr>
          <w:rStyle w:val="50"/>
          <w:rFonts w:ascii="仿宋" w:hAnsi="仿宋" w:eastAsia="仿宋" w:cs="仿宋_GB2312"/>
          <w:color w:val="auto"/>
          <w:szCs w:val="24"/>
          <w:highlight w:val="none"/>
        </w:rPr>
      </w:pPr>
      <w:r>
        <w:rPr>
          <w:rStyle w:val="50"/>
          <w:rFonts w:hint="eastAsia" w:ascii="仿宋" w:hAnsi="仿宋" w:eastAsia="仿宋" w:cs="仿宋_GB2312"/>
          <w:color w:val="auto"/>
          <w:szCs w:val="24"/>
          <w:highlight w:val="none"/>
        </w:rPr>
        <w:br w:type="page"/>
      </w:r>
    </w:p>
    <w:p>
      <w:pPr>
        <w:pStyle w:val="5"/>
        <w:numPr>
          <w:ilvl w:val="2"/>
          <w:numId w:val="0"/>
        </w:numPr>
        <w:spacing w:before="156" w:after="156"/>
        <w:ind w:left="440" w:leftChars="200"/>
        <w:jc w:val="center"/>
        <w:rPr>
          <w:rFonts w:ascii="仿宋" w:hAnsi="仿宋" w:eastAsia="仿宋" w:cs="仿宋"/>
          <w:bCs/>
          <w:color w:val="auto"/>
          <w:sz w:val="24"/>
          <w:szCs w:val="24"/>
          <w:highlight w:val="none"/>
        </w:rPr>
      </w:pPr>
      <w:r>
        <w:rPr>
          <w:rStyle w:val="50"/>
          <w:rFonts w:hint="eastAsia" w:ascii="仿宋" w:hAnsi="仿宋" w:eastAsia="仿宋" w:cs="仿宋_GB2312"/>
          <w:b/>
          <w:color w:val="auto"/>
          <w:szCs w:val="24"/>
          <w:highlight w:val="none"/>
        </w:rPr>
        <w:t>三、</w:t>
      </w:r>
      <w:bookmarkStart w:id="80" w:name="技术资信文件格式"/>
      <w:r>
        <w:rPr>
          <w:rStyle w:val="50"/>
          <w:rFonts w:hint="eastAsia" w:ascii="仿宋" w:hAnsi="仿宋" w:eastAsia="仿宋" w:cs="仿宋_GB2312"/>
          <w:b/>
          <w:color w:val="auto"/>
          <w:szCs w:val="24"/>
          <w:highlight w:val="none"/>
        </w:rPr>
        <w:t>技术商务文件格式</w:t>
      </w:r>
      <w:bookmarkEnd w:id="65"/>
      <w:bookmarkEnd w:id="66"/>
      <w:bookmarkEnd w:id="67"/>
      <w:bookmarkEnd w:id="68"/>
      <w:bookmarkEnd w:id="69"/>
      <w:bookmarkEnd w:id="80"/>
    </w:p>
    <w:p>
      <w:pPr>
        <w:spacing w:after="0"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1.评分索引表</w:t>
      </w:r>
    </w:p>
    <w:tbl>
      <w:tblPr>
        <w:tblStyle w:val="41"/>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214"/>
        <w:gridCol w:w="1276"/>
        <w:gridCol w:w="99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5214"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127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自评分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资料所在页码</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80" w:lineRule="exact"/>
              <w:ind w:firstLine="120" w:firstLineChars="50"/>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8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80" w:lineRule="exact"/>
              <w:ind w:left="-99" w:leftChars="-45" w:right="-128" w:rightChars="-58"/>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pStyle w:val="100"/>
              <w:spacing w:line="300" w:lineRule="exact"/>
              <w:rPr>
                <w:rFonts w:ascii="仿宋" w:hAnsi="仿宋" w:eastAsia="仿宋" w:cs="仿宋"/>
                <w:color w:val="auto"/>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pStyle w:val="100"/>
              <w:spacing w:line="300" w:lineRule="exact"/>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0"/>
              <w:spacing w:line="300" w:lineRule="exact"/>
              <w:jc w:val="center"/>
              <w:rPr>
                <w:rFonts w:ascii="仿宋" w:hAnsi="仿宋" w:eastAsia="仿宋" w:cs="仿宋"/>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pStyle w:val="100"/>
              <w:spacing w:line="300" w:lineRule="exact"/>
              <w:rPr>
                <w:rFonts w:ascii="仿宋" w:hAnsi="仿宋" w:eastAsia="仿宋" w:cs="仿宋"/>
                <w:color w:val="auto"/>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pStyle w:val="100"/>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0"/>
              <w:jc w:val="center"/>
              <w:rPr>
                <w:rFonts w:ascii="仿宋" w:hAnsi="仿宋" w:eastAsia="仿宋" w:cs="仿宋"/>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52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4"/>
                <w:szCs w:val="24"/>
                <w:highlight w:val="none"/>
              </w:rPr>
            </w:pPr>
          </w:p>
        </w:tc>
      </w:tr>
    </w:tbl>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注：供应商须填写此表，并编制于技术商务文件目录之后。</w:t>
      </w:r>
      <w:r>
        <w:rPr>
          <w:rFonts w:ascii="仿宋" w:hAnsi="仿宋" w:eastAsia="仿宋" w:cs="仿宋"/>
          <w:color w:val="auto"/>
          <w:sz w:val="24"/>
          <w:szCs w:val="24"/>
          <w:highlight w:val="none"/>
        </w:rPr>
        <w:t xml:space="preserve">                                           </w:t>
      </w:r>
    </w:p>
    <w:p>
      <w:pPr>
        <w:spacing w:line="300" w:lineRule="exact"/>
        <w:rPr>
          <w:rFonts w:ascii="仿宋" w:hAnsi="仿宋" w:eastAsia="仿宋" w:cs="仿宋"/>
          <w:color w:val="auto"/>
          <w:sz w:val="24"/>
          <w:szCs w:val="24"/>
          <w:highlight w:val="none"/>
        </w:rPr>
      </w:pPr>
    </w:p>
    <w:p>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r>
        <w:rPr>
          <w:rFonts w:ascii="仿宋" w:hAnsi="仿宋" w:eastAsia="仿宋" w:cs="仿宋"/>
          <w:color w:val="auto"/>
          <w:sz w:val="24"/>
          <w:szCs w:val="24"/>
          <w:highlight w:val="none"/>
          <w:u w:val="single"/>
        </w:rPr>
        <w:t xml:space="preserve">            </w:t>
      </w:r>
    </w:p>
    <w:p>
      <w:pPr>
        <w:wordWrap w:val="0"/>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p>
    <w:p>
      <w:pPr>
        <w:pStyle w:val="67"/>
        <w:rPr>
          <w:rFonts w:ascii="仿宋" w:hAnsi="仿宋" w:eastAsia="仿宋" w:cs="仿宋"/>
          <w:color w:val="auto"/>
          <w:highlight w:val="none"/>
        </w:rPr>
      </w:pPr>
    </w:p>
    <w:bookmarkEnd w:id="61"/>
    <w:p>
      <w:pPr>
        <w:pStyle w:val="20"/>
        <w:ind w:left="0" w:leftChars="0" w:firstLine="0" w:firstLineChars="0"/>
        <w:rPr>
          <w:rFonts w:ascii="仿宋" w:hAnsi="仿宋" w:eastAsia="仿宋" w:cs="仿宋"/>
          <w:b/>
          <w:color w:val="auto"/>
          <w:sz w:val="24"/>
          <w:highlight w:val="none"/>
        </w:rPr>
      </w:pPr>
    </w:p>
    <w:p>
      <w:pPr>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br w:type="page"/>
      </w:r>
    </w:p>
    <w:p>
      <w:pPr>
        <w:autoSpaceDE w:val="0"/>
        <w:autoSpaceDN w:val="0"/>
        <w:adjustRightInd w:val="0"/>
        <w:spacing w:line="320" w:lineRule="atLeast"/>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val="en-US" w:eastAsia="zh-CN"/>
        </w:rPr>
        <w:t>2</w:t>
      </w:r>
      <w:r>
        <w:rPr>
          <w:rFonts w:hint="eastAsia" w:ascii="仿宋" w:hAnsi="仿宋" w:eastAsia="仿宋" w:cs="仿宋"/>
          <w:color w:val="auto"/>
          <w:spacing w:val="20"/>
          <w:kern w:val="2"/>
          <w:sz w:val="24"/>
          <w:szCs w:val="24"/>
          <w:highlight w:val="none"/>
        </w:rPr>
        <w:t>.</w:t>
      </w:r>
      <w:r>
        <w:rPr>
          <w:rFonts w:hint="eastAsia" w:ascii="仿宋" w:hAnsi="仿宋" w:eastAsia="仿宋" w:cs="仿宋"/>
          <w:color w:val="auto"/>
          <w:spacing w:val="20"/>
          <w:sz w:val="24"/>
          <w:szCs w:val="24"/>
          <w:highlight w:val="none"/>
        </w:rPr>
        <w:t>偏离表</w:t>
      </w:r>
    </w:p>
    <w:p>
      <w:pPr>
        <w:pStyle w:val="18"/>
        <w:rPr>
          <w:rFonts w:hint="eastAsia" w:ascii="仿宋" w:hAnsi="仿宋" w:eastAsia="仿宋" w:cs="仿宋"/>
          <w:color w:val="auto"/>
          <w:sz w:val="24"/>
          <w:szCs w:val="24"/>
          <w:highlight w:val="none"/>
        </w:rPr>
      </w:pPr>
    </w:p>
    <w:p>
      <w:pPr>
        <w:pStyle w:val="1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pPr>
        <w:pStyle w:val="18"/>
        <w:rPr>
          <w:rFonts w:hint="eastAsia" w:ascii="仿宋" w:hAnsi="仿宋" w:eastAsia="仿宋" w:cs="仿宋"/>
          <w:color w:val="auto"/>
          <w:sz w:val="24"/>
          <w:highlight w:val="none"/>
          <w:u w:val="single"/>
        </w:rPr>
      </w:pPr>
    </w:p>
    <w:tbl>
      <w:tblPr>
        <w:tblStyle w:val="41"/>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96"/>
        <w:gridCol w:w="1985"/>
        <w:gridCol w:w="1578"/>
        <w:gridCol w:w="144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0"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96"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技术规范要求</w:t>
            </w:r>
          </w:p>
        </w:tc>
        <w:tc>
          <w:tcPr>
            <w:tcW w:w="1985"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投标人响应详细内容</w:t>
            </w:r>
          </w:p>
        </w:tc>
        <w:tc>
          <w:tcPr>
            <w:tcW w:w="1578"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1449"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c>
          <w:tcPr>
            <w:tcW w:w="1418" w:type="dxa"/>
            <w:noWrap w:val="0"/>
            <w:vAlign w:val="top"/>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auto"/>
                <w:sz w:val="24"/>
                <w:szCs w:val="24"/>
                <w:highlight w:val="none"/>
              </w:rPr>
            </w:pPr>
          </w:p>
        </w:tc>
        <w:tc>
          <w:tcPr>
            <w:tcW w:w="2096" w:type="dxa"/>
            <w:noWrap w:val="0"/>
            <w:vAlign w:val="top"/>
          </w:tcPr>
          <w:p>
            <w:pPr>
              <w:spacing w:line="500" w:lineRule="exact"/>
              <w:jc w:val="left"/>
              <w:rPr>
                <w:rFonts w:hint="eastAsia" w:ascii="仿宋" w:hAnsi="仿宋" w:eastAsia="仿宋" w:cs="仿宋"/>
                <w:color w:val="auto"/>
                <w:sz w:val="24"/>
                <w:szCs w:val="24"/>
                <w:highlight w:val="none"/>
              </w:rPr>
            </w:pPr>
          </w:p>
        </w:tc>
        <w:tc>
          <w:tcPr>
            <w:tcW w:w="1985" w:type="dxa"/>
            <w:noWrap w:val="0"/>
            <w:vAlign w:val="top"/>
          </w:tcPr>
          <w:p>
            <w:pPr>
              <w:spacing w:line="500" w:lineRule="exact"/>
              <w:jc w:val="left"/>
              <w:rPr>
                <w:rFonts w:hint="eastAsia" w:ascii="仿宋" w:hAnsi="仿宋" w:eastAsia="仿宋" w:cs="仿宋"/>
                <w:color w:val="auto"/>
                <w:sz w:val="24"/>
                <w:szCs w:val="24"/>
                <w:highlight w:val="none"/>
              </w:rPr>
            </w:pPr>
          </w:p>
        </w:tc>
        <w:tc>
          <w:tcPr>
            <w:tcW w:w="1578" w:type="dxa"/>
            <w:noWrap w:val="0"/>
            <w:vAlign w:val="top"/>
          </w:tcPr>
          <w:p>
            <w:pPr>
              <w:spacing w:line="500" w:lineRule="exact"/>
              <w:jc w:val="left"/>
              <w:rPr>
                <w:rFonts w:hint="eastAsia" w:ascii="仿宋" w:hAnsi="仿宋" w:eastAsia="仿宋" w:cs="仿宋"/>
                <w:color w:val="auto"/>
                <w:sz w:val="24"/>
                <w:szCs w:val="24"/>
                <w:highlight w:val="none"/>
              </w:rPr>
            </w:pPr>
          </w:p>
        </w:tc>
        <w:tc>
          <w:tcPr>
            <w:tcW w:w="1449" w:type="dxa"/>
            <w:noWrap w:val="0"/>
            <w:vAlign w:val="top"/>
          </w:tcPr>
          <w:p>
            <w:pPr>
              <w:spacing w:line="500" w:lineRule="exact"/>
              <w:jc w:val="left"/>
              <w:rPr>
                <w:rFonts w:hint="eastAsia" w:ascii="仿宋" w:hAnsi="仿宋" w:eastAsia="仿宋" w:cs="仿宋"/>
                <w:color w:val="auto"/>
                <w:sz w:val="24"/>
                <w:szCs w:val="24"/>
                <w:highlight w:val="none"/>
              </w:rPr>
            </w:pPr>
          </w:p>
        </w:tc>
        <w:tc>
          <w:tcPr>
            <w:tcW w:w="1418" w:type="dxa"/>
            <w:noWrap w:val="0"/>
            <w:vAlign w:val="top"/>
          </w:tcPr>
          <w:p>
            <w:pPr>
              <w:spacing w:line="500" w:lineRule="exact"/>
              <w:jc w:val="left"/>
              <w:rPr>
                <w:rFonts w:hint="eastAsia" w:ascii="仿宋" w:hAnsi="仿宋" w:eastAsia="仿宋" w:cs="仿宋"/>
                <w:color w:val="auto"/>
                <w:sz w:val="24"/>
                <w:szCs w:val="24"/>
                <w:highlight w:val="none"/>
              </w:rPr>
            </w:pPr>
          </w:p>
        </w:tc>
      </w:tr>
    </w:tbl>
    <w:p>
      <w:pPr>
        <w:pStyle w:val="18"/>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pPr>
        <w:pStyle w:val="18"/>
        <w:rPr>
          <w:rFonts w:hint="eastAsia" w:ascii="仿宋" w:hAnsi="仿宋" w:eastAsia="仿宋" w:cs="仿宋"/>
          <w:b/>
          <w:bCs/>
          <w:color w:val="auto"/>
          <w:spacing w:val="0"/>
          <w:kern w:val="0"/>
          <w:sz w:val="24"/>
          <w:szCs w:val="20"/>
          <w:highlight w:val="none"/>
          <w:lang w:val="en-US" w:eastAsia="zh-CN" w:bidi="ar-SA"/>
        </w:rPr>
      </w:pPr>
      <w:r>
        <w:rPr>
          <w:rFonts w:hint="eastAsia" w:ascii="仿宋" w:hAnsi="仿宋" w:eastAsia="仿宋" w:cs="仿宋"/>
          <w:b/>
          <w:bCs/>
          <w:color w:val="auto"/>
          <w:spacing w:val="0"/>
          <w:kern w:val="0"/>
          <w:sz w:val="24"/>
          <w:szCs w:val="20"/>
          <w:highlight w:val="none"/>
          <w:lang w:val="en-US" w:eastAsia="zh-CN" w:bidi="ar-SA"/>
        </w:rPr>
        <w:tab/>
      </w:r>
      <w:r>
        <w:rPr>
          <w:rFonts w:hint="eastAsia" w:ascii="仿宋" w:hAnsi="仿宋" w:eastAsia="仿宋" w:cs="仿宋"/>
          <w:b/>
          <w:bCs/>
          <w:color w:val="auto"/>
          <w:spacing w:val="0"/>
          <w:kern w:val="0"/>
          <w:sz w:val="24"/>
          <w:szCs w:val="20"/>
          <w:highlight w:val="none"/>
          <w:lang w:val="en-US" w:eastAsia="zh-CN" w:bidi="ar-SA"/>
        </w:rPr>
        <w:tab/>
      </w:r>
      <w:r>
        <w:rPr>
          <w:rFonts w:hint="eastAsia" w:ascii="仿宋" w:hAnsi="仿宋" w:eastAsia="仿宋" w:cs="仿宋"/>
          <w:b/>
          <w:bCs/>
          <w:color w:val="auto"/>
          <w:spacing w:val="0"/>
          <w:kern w:val="0"/>
          <w:sz w:val="24"/>
          <w:szCs w:val="20"/>
          <w:highlight w:val="none"/>
          <w:lang w:val="en-US" w:eastAsia="zh-CN" w:bidi="ar-SA"/>
        </w:rPr>
        <w:tab/>
      </w:r>
      <w:r>
        <w:rPr>
          <w:rFonts w:hint="eastAsia" w:ascii="仿宋" w:hAnsi="仿宋" w:eastAsia="仿宋" w:cs="仿宋"/>
          <w:b/>
          <w:bCs/>
          <w:color w:val="auto"/>
          <w:spacing w:val="0"/>
          <w:kern w:val="0"/>
          <w:sz w:val="24"/>
          <w:szCs w:val="20"/>
          <w:highlight w:val="none"/>
          <w:lang w:val="en-US" w:eastAsia="zh-CN" w:bidi="ar-SA"/>
        </w:rPr>
        <w:tab/>
      </w:r>
      <w:r>
        <w:rPr>
          <w:rFonts w:hint="eastAsia" w:ascii="仿宋" w:hAnsi="仿宋" w:eastAsia="仿宋" w:cs="仿宋"/>
          <w:b/>
          <w:bCs/>
          <w:color w:val="auto"/>
          <w:spacing w:val="0"/>
          <w:kern w:val="0"/>
          <w:sz w:val="24"/>
          <w:szCs w:val="20"/>
          <w:highlight w:val="none"/>
          <w:lang w:val="en-US" w:eastAsia="zh-CN" w:bidi="ar-SA"/>
        </w:rPr>
        <w:tab/>
      </w:r>
    </w:p>
    <w:p>
      <w:pPr>
        <w:pStyle w:val="18"/>
        <w:keepNext w:val="0"/>
        <w:keepLines w:val="0"/>
        <w:pageBreakBefore w:val="0"/>
        <w:widowControl w:val="0"/>
        <w:kinsoku/>
        <w:wordWrap/>
        <w:overflowPunct/>
        <w:topLinePunct w:val="0"/>
        <w:autoSpaceDE/>
        <w:autoSpaceDN/>
        <w:bidi w:val="0"/>
        <w:spacing w:line="360" w:lineRule="auto"/>
        <w:jc w:val="left"/>
        <w:rPr>
          <w:rFonts w:hint="eastAsia" w:ascii="仿宋" w:hAnsi="仿宋" w:eastAsia="仿宋" w:cs="仿宋"/>
          <w:b/>
          <w:bCs/>
          <w:color w:val="auto"/>
          <w:spacing w:val="0"/>
          <w:kern w:val="0"/>
          <w:sz w:val="24"/>
          <w:szCs w:val="20"/>
          <w:highlight w:val="none"/>
          <w:lang w:val="en-US" w:eastAsia="zh-CN" w:bidi="ar-SA"/>
        </w:rPr>
      </w:pPr>
      <w:r>
        <w:rPr>
          <w:rFonts w:hint="eastAsia" w:ascii="仿宋" w:hAnsi="仿宋" w:eastAsia="仿宋" w:cs="仿宋"/>
          <w:b/>
          <w:bCs/>
          <w:color w:val="auto"/>
          <w:spacing w:val="0"/>
          <w:kern w:val="0"/>
          <w:sz w:val="24"/>
          <w:szCs w:val="20"/>
          <w:highlight w:val="none"/>
          <w:lang w:val="en-US" w:eastAsia="zh-CN" w:bidi="ar-SA"/>
        </w:rPr>
        <w:t>注：1.</w:t>
      </w:r>
      <w:r>
        <w:rPr>
          <w:rFonts w:hint="eastAsia" w:ascii="仿宋" w:hAnsi="仿宋" w:eastAsia="仿宋" w:cs="仿宋"/>
          <w:b/>
          <w:bCs/>
          <w:color w:val="auto"/>
          <w:sz w:val="24"/>
          <w:szCs w:val="20"/>
          <w:highlight w:val="none"/>
        </w:rPr>
        <w:t>供应商</w:t>
      </w:r>
      <w:r>
        <w:rPr>
          <w:rFonts w:hint="eastAsia" w:ascii="仿宋" w:hAnsi="仿宋" w:eastAsia="仿宋" w:cs="仿宋"/>
          <w:b/>
          <w:bCs/>
          <w:color w:val="auto"/>
          <w:spacing w:val="0"/>
          <w:kern w:val="0"/>
          <w:sz w:val="24"/>
          <w:szCs w:val="20"/>
          <w:highlight w:val="none"/>
          <w:lang w:val="en-US" w:eastAsia="zh-CN" w:bidi="ar-SA"/>
        </w:rPr>
        <w:t>递交的投标文件中与采购文件的要求有不同时，应逐条列在偏离表中并作出“正偏离/负偏离”，同时在说明栏目中具体说明及填写页码，否则将认为</w:t>
      </w:r>
      <w:r>
        <w:rPr>
          <w:rFonts w:hint="eastAsia" w:ascii="仿宋" w:hAnsi="仿宋" w:eastAsia="仿宋" w:cs="仿宋"/>
          <w:b/>
          <w:bCs/>
          <w:color w:val="auto"/>
          <w:sz w:val="24"/>
          <w:szCs w:val="20"/>
          <w:highlight w:val="none"/>
        </w:rPr>
        <w:t>供应商</w:t>
      </w:r>
      <w:r>
        <w:rPr>
          <w:rFonts w:hint="eastAsia" w:ascii="仿宋" w:hAnsi="仿宋" w:eastAsia="仿宋" w:cs="仿宋"/>
          <w:b/>
          <w:bCs/>
          <w:color w:val="auto"/>
          <w:spacing w:val="0"/>
          <w:kern w:val="0"/>
          <w:sz w:val="24"/>
          <w:szCs w:val="20"/>
          <w:highlight w:val="none"/>
          <w:lang w:val="en-US" w:eastAsia="zh-CN" w:bidi="ar-SA"/>
        </w:rPr>
        <w:t>接受采购文件的要求。</w:t>
      </w:r>
    </w:p>
    <w:p>
      <w:pPr>
        <w:pStyle w:val="2"/>
        <w:keepNext w:val="0"/>
        <w:keepLines w:val="0"/>
        <w:pageBreakBefore w:val="0"/>
        <w:widowControl w:val="0"/>
        <w:kinsoku/>
        <w:wordWrap/>
        <w:overflowPunct/>
        <w:topLinePunct w:val="0"/>
        <w:autoSpaceDE/>
        <w:autoSpaceDN/>
        <w:bidi w:val="0"/>
        <w:spacing w:after="0" w:line="360" w:lineRule="auto"/>
        <w:ind w:firstLine="442"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2.未填写此表视为对本项目采购需求全部响应。</w:t>
      </w:r>
    </w:p>
    <w:p>
      <w:pPr>
        <w:pStyle w:val="18"/>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color w:val="auto"/>
          <w:sz w:val="24"/>
          <w:highlight w:val="none"/>
        </w:rPr>
      </w:pPr>
    </w:p>
    <w:p>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r>
        <w:rPr>
          <w:rFonts w:ascii="仿宋" w:hAnsi="仿宋" w:eastAsia="仿宋" w:cs="仿宋"/>
          <w:color w:val="auto"/>
          <w:sz w:val="24"/>
          <w:szCs w:val="24"/>
          <w:highlight w:val="none"/>
          <w:u w:val="single"/>
        </w:rPr>
        <w:t xml:space="preserve">            </w:t>
      </w:r>
    </w:p>
    <w:p>
      <w:pPr>
        <w:wordWrap w:val="0"/>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p>
    <w:p>
      <w:pPr>
        <w:pStyle w:val="56"/>
        <w:rPr>
          <w:color w:val="auto"/>
          <w:highlight w:val="none"/>
        </w:rPr>
      </w:pPr>
    </w:p>
    <w:p>
      <w:pPr>
        <w:numPr>
          <w:ilvl w:val="0"/>
          <w:numId w:val="7"/>
        </w:numPr>
        <w:spacing w:line="500" w:lineRule="exact"/>
        <w:jc w:val="center"/>
        <w:outlineLvl w:val="1"/>
        <w:rPr>
          <w:rStyle w:val="50"/>
          <w:rFonts w:ascii="仿宋" w:hAnsi="仿宋" w:eastAsia="仿宋" w:cs="仿宋"/>
          <w:color w:val="auto"/>
          <w:szCs w:val="24"/>
          <w:highlight w:val="none"/>
        </w:rPr>
      </w:pPr>
      <w:bookmarkStart w:id="81" w:name="_Toc359856823"/>
      <w:bookmarkStart w:id="82" w:name="商务文件格式"/>
      <w:bookmarkStart w:id="83" w:name="_Toc6903"/>
      <w:bookmarkStart w:id="84" w:name="_Toc2368"/>
      <w:bookmarkStart w:id="85" w:name="_Toc23434"/>
      <w:bookmarkStart w:id="86" w:name="_Toc18292"/>
      <w:bookmarkStart w:id="87" w:name="_Toc21072"/>
      <w:r>
        <w:rPr>
          <w:rStyle w:val="50"/>
          <w:rFonts w:hint="eastAsia" w:ascii="仿宋" w:hAnsi="仿宋" w:eastAsia="仿宋" w:cs="仿宋"/>
          <w:color w:val="auto"/>
          <w:szCs w:val="24"/>
          <w:highlight w:val="none"/>
        </w:rPr>
        <w:br w:type="page"/>
      </w:r>
      <w:r>
        <w:rPr>
          <w:rStyle w:val="50"/>
          <w:rFonts w:hint="eastAsia" w:ascii="仿宋" w:hAnsi="仿宋" w:eastAsia="仿宋" w:cs="仿宋"/>
          <w:color w:val="auto"/>
          <w:szCs w:val="24"/>
          <w:highlight w:val="none"/>
        </w:rPr>
        <w:t>报价文件格式</w:t>
      </w:r>
      <w:bookmarkEnd w:id="81"/>
      <w:bookmarkEnd w:id="82"/>
      <w:bookmarkEnd w:id="83"/>
      <w:bookmarkEnd w:id="84"/>
      <w:bookmarkEnd w:id="85"/>
      <w:bookmarkEnd w:id="86"/>
      <w:bookmarkEnd w:id="87"/>
    </w:p>
    <w:p>
      <w:pPr>
        <w:jc w:val="center"/>
        <w:rPr>
          <w:rFonts w:ascii="仿宋_GB2312" w:hAnsi="仿宋_GB2312" w:eastAsia="仿宋_GB2312" w:cs="仿宋_GB2312"/>
          <w:color w:val="auto"/>
          <w:sz w:val="24"/>
          <w:szCs w:val="24"/>
          <w:highlight w:val="none"/>
        </w:rPr>
      </w:pPr>
      <w:r>
        <w:rPr>
          <w:rFonts w:hint="eastAsia" w:ascii="仿宋" w:hAnsi="仿宋" w:eastAsia="仿宋" w:cs="仿宋"/>
          <w:color w:val="auto"/>
          <w:sz w:val="24"/>
          <w:szCs w:val="24"/>
          <w:highlight w:val="none"/>
        </w:rPr>
        <w:t>1.开标一览表</w:t>
      </w:r>
    </w:p>
    <w:p>
      <w:pPr>
        <w:spacing w:before="50" w:after="50" w:line="3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pPr>
        <w:autoSpaceDE w:val="0"/>
        <w:autoSpaceDN w:val="0"/>
        <w:adjustRightInd w:val="0"/>
        <w:rPr>
          <w:rFonts w:ascii="宋体" w:hAnsi="宋体"/>
          <w:b/>
          <w:color w:val="auto"/>
          <w:sz w:val="28"/>
          <w:szCs w:val="28"/>
          <w:highlight w:val="none"/>
          <w:lang w:val="zh-CN"/>
        </w:rPr>
      </w:pPr>
    </w:p>
    <w:tbl>
      <w:tblPr>
        <w:tblStyle w:val="41"/>
        <w:tblW w:w="8340" w:type="dxa"/>
        <w:jc w:val="center"/>
        <w:tblLayout w:type="fixed"/>
        <w:tblCellMar>
          <w:top w:w="0" w:type="dxa"/>
          <w:left w:w="108" w:type="dxa"/>
          <w:bottom w:w="0" w:type="dxa"/>
          <w:right w:w="108" w:type="dxa"/>
        </w:tblCellMar>
      </w:tblPr>
      <w:tblGrid>
        <w:gridCol w:w="2404"/>
        <w:gridCol w:w="5936"/>
      </w:tblGrid>
      <w:tr>
        <w:tblPrEx>
          <w:tblCellMar>
            <w:top w:w="0" w:type="dxa"/>
            <w:left w:w="108" w:type="dxa"/>
            <w:bottom w:w="0" w:type="dxa"/>
            <w:right w:w="108" w:type="dxa"/>
          </w:tblCellMar>
        </w:tblPrEx>
        <w:trPr>
          <w:jc w:val="center"/>
        </w:trPr>
        <w:tc>
          <w:tcPr>
            <w:tcW w:w="2404" w:type="dxa"/>
            <w:tcBorders>
              <w:top w:val="single" w:color="auto" w:sz="4"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投资内容</w:t>
            </w:r>
          </w:p>
        </w:tc>
        <w:tc>
          <w:tcPr>
            <w:tcW w:w="5936" w:type="dxa"/>
            <w:tcBorders>
              <w:top w:val="single" w:color="auto" w:sz="4" w:space="0"/>
              <w:left w:val="single" w:color="auto" w:sz="6" w:space="0"/>
              <w:bottom w:val="single" w:color="auto" w:sz="4" w:space="0"/>
              <w:right w:val="single" w:color="auto" w:sz="6" w:space="0"/>
            </w:tcBorders>
            <w:noWrap w:val="0"/>
            <w:vAlign w:val="center"/>
          </w:tcPr>
          <w:p>
            <w:pPr>
              <w:widowControl/>
              <w:shd w:val="clear" w:color="auto" w:fill="FFFFFF"/>
              <w:spacing w:line="4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投资金额（万元）</w:t>
            </w:r>
          </w:p>
        </w:tc>
      </w:tr>
      <w:tr>
        <w:tblPrEx>
          <w:tblCellMar>
            <w:top w:w="0" w:type="dxa"/>
            <w:left w:w="108" w:type="dxa"/>
            <w:bottom w:w="0" w:type="dxa"/>
            <w:right w:w="108" w:type="dxa"/>
          </w:tblCellMar>
        </w:tblPrEx>
        <w:trPr>
          <w:trHeight w:val="633" w:hRule="atLeast"/>
          <w:jc w:val="center"/>
        </w:trPr>
        <w:tc>
          <w:tcPr>
            <w:tcW w:w="2404"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学校信息化及校园文化建设</w:t>
            </w:r>
          </w:p>
        </w:tc>
        <w:tc>
          <w:tcPr>
            <w:tcW w:w="593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44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（小写）￥： </w:t>
            </w:r>
          </w:p>
        </w:tc>
      </w:tr>
      <w:tr>
        <w:tblPrEx>
          <w:tblCellMar>
            <w:top w:w="0" w:type="dxa"/>
            <w:left w:w="108" w:type="dxa"/>
            <w:bottom w:w="0" w:type="dxa"/>
            <w:right w:w="108" w:type="dxa"/>
          </w:tblCellMar>
        </w:tblPrEx>
        <w:trPr>
          <w:trHeight w:val="633" w:hRule="atLeast"/>
          <w:jc w:val="center"/>
        </w:trPr>
        <w:tc>
          <w:tcPr>
            <w:tcW w:w="2404" w:type="dxa"/>
            <w:vMerge w:val="continue"/>
            <w:tcBorders>
              <w:left w:val="single" w:color="auto" w:sz="4" w:space="0"/>
              <w:bottom w:val="single" w:color="auto" w:sz="4" w:space="0"/>
              <w:right w:val="single" w:color="auto" w:sz="4" w:space="0"/>
            </w:tcBorders>
            <w:noWrap w:val="0"/>
            <w:vAlign w:val="center"/>
          </w:tcPr>
          <w:p>
            <w:pPr>
              <w:widowControl/>
              <w:shd w:val="clear" w:color="auto" w:fill="FFFFFF"/>
              <w:spacing w:line="440" w:lineRule="exact"/>
              <w:jc w:val="center"/>
              <w:rPr>
                <w:rFonts w:hint="eastAsia" w:ascii="仿宋" w:hAnsi="仿宋" w:eastAsia="仿宋" w:cs="仿宋"/>
                <w:bCs/>
                <w:color w:val="auto"/>
                <w:sz w:val="24"/>
                <w:szCs w:val="24"/>
                <w:highlight w:val="none"/>
              </w:rPr>
            </w:pPr>
          </w:p>
        </w:tc>
        <w:tc>
          <w:tcPr>
            <w:tcW w:w="593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44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（大写）人民币：</w:t>
            </w:r>
          </w:p>
        </w:tc>
      </w:tr>
    </w:tbl>
    <w:p>
      <w:pPr>
        <w:widowControl/>
        <w:shd w:val="clear" w:color="auto" w:fill="FFFFFF"/>
        <w:spacing w:line="440" w:lineRule="exact"/>
        <w:ind w:left="440" w:leftChars="200"/>
        <w:jc w:val="left"/>
        <w:rPr>
          <w:rFonts w:hint="eastAsia" w:ascii="宋体" w:hAnsi="宋体"/>
          <w:bCs/>
          <w:color w:val="auto"/>
          <w:sz w:val="24"/>
          <w:highlight w:val="none"/>
        </w:rPr>
      </w:pPr>
    </w:p>
    <w:p>
      <w:pPr>
        <w:pStyle w:val="18"/>
        <w:keepNext w:val="0"/>
        <w:keepLines w:val="0"/>
        <w:pageBreakBefore w:val="0"/>
        <w:widowControl w:val="0"/>
        <w:kinsoku/>
        <w:wordWrap/>
        <w:overflowPunct/>
        <w:topLinePunct w:val="0"/>
        <w:autoSpaceDE w:val="0"/>
        <w:autoSpaceDN w:val="0"/>
        <w:bidi w:val="0"/>
        <w:adjustRightInd/>
        <w:snapToGrid/>
        <w:spacing w:after="0" w:line="40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注：1.报价一经涂改，应在涂改处加盖供应商公章或者由法定代表人（负责人）签字或盖章或授权委托人签字或盖章，否则其投标作无效标处理。</w:t>
      </w:r>
    </w:p>
    <w:p>
      <w:pPr>
        <w:pStyle w:val="18"/>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投资金额以人民币报价。投资金额低于</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00万元人民币的为无效报价。</w:t>
      </w:r>
    </w:p>
    <w:p>
      <w:pPr>
        <w:pStyle w:val="18"/>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合作银行为学校投入的软硬件设施产权归合作银行所有，学校享有永久使用权。</w:t>
      </w:r>
    </w:p>
    <w:p>
      <w:pPr>
        <w:pStyle w:val="18"/>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4.报价</w:t>
      </w:r>
      <w:r>
        <w:rPr>
          <w:rFonts w:hint="eastAsia" w:ascii="仿宋" w:hAnsi="仿宋" w:eastAsia="仿宋" w:cs="仿宋"/>
          <w:color w:val="auto"/>
          <w:szCs w:val="24"/>
          <w:highlight w:val="none"/>
        </w:rPr>
        <w:t>保留2位小数</w:t>
      </w:r>
      <w:r>
        <w:rPr>
          <w:rFonts w:hint="eastAsia" w:ascii="仿宋" w:hAnsi="仿宋" w:eastAsia="仿宋" w:cs="仿宋"/>
          <w:color w:val="auto"/>
          <w:szCs w:val="24"/>
          <w:highlight w:val="none"/>
          <w:lang w:eastAsia="zh-CN"/>
        </w:rPr>
        <w:t>。</w:t>
      </w:r>
    </w:p>
    <w:p>
      <w:pPr>
        <w:spacing w:line="300" w:lineRule="exact"/>
        <w:rPr>
          <w:rFonts w:hint="eastAsia" w:ascii="仿宋" w:hAnsi="仿宋" w:eastAsia="仿宋" w:cs="仿宋"/>
          <w:color w:val="auto"/>
          <w:sz w:val="24"/>
          <w:szCs w:val="24"/>
          <w:highlight w:val="none"/>
        </w:rPr>
      </w:pPr>
    </w:p>
    <w:p>
      <w:pPr>
        <w:spacing w:line="300" w:lineRule="exact"/>
        <w:rPr>
          <w:rFonts w:hint="eastAsia" w:ascii="仿宋" w:hAnsi="仿宋" w:eastAsia="仿宋" w:cs="仿宋"/>
          <w:color w:val="auto"/>
          <w:sz w:val="24"/>
          <w:szCs w:val="24"/>
          <w:highlight w:val="none"/>
        </w:rPr>
      </w:pPr>
    </w:p>
    <w:p>
      <w:pPr>
        <w:spacing w:line="300" w:lineRule="exact"/>
        <w:rPr>
          <w:rFonts w:hint="eastAsia" w:ascii="仿宋" w:hAnsi="仿宋" w:eastAsia="仿宋" w:cs="仿宋"/>
          <w:color w:val="auto"/>
          <w:sz w:val="24"/>
          <w:szCs w:val="24"/>
          <w:highlight w:val="none"/>
        </w:rPr>
      </w:pPr>
    </w:p>
    <w:p>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（盖章）</w:t>
      </w:r>
      <w:r>
        <w:rPr>
          <w:rFonts w:ascii="仿宋" w:hAnsi="仿宋" w:eastAsia="仿宋" w:cs="仿宋"/>
          <w:color w:val="auto"/>
          <w:sz w:val="24"/>
          <w:szCs w:val="24"/>
          <w:highlight w:val="none"/>
          <w:u w:val="single"/>
        </w:rPr>
        <w:t xml:space="preserve">            </w:t>
      </w:r>
    </w:p>
    <w:p>
      <w:pPr>
        <w:wordWrap w:val="0"/>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（签字或盖章）</w:t>
      </w:r>
    </w:p>
    <w:p>
      <w:pPr>
        <w:spacing w:line="300" w:lineRule="exact"/>
        <w:ind w:right="440" w:righ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日</w:t>
      </w:r>
    </w:p>
    <w:bookmarkEnd w:id="62"/>
    <w:p>
      <w:pPr>
        <w:pStyle w:val="150"/>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32"/>
          <w:szCs w:val="32"/>
          <w:highlight w:val="none"/>
        </w:rPr>
      </w:pPr>
      <w:r>
        <w:rPr>
          <w:rFonts w:hint="eastAsia"/>
          <w:color w:val="auto"/>
          <w:highlight w:val="none"/>
        </w:rPr>
        <w:br w:type="page"/>
      </w:r>
      <w:r>
        <w:rPr>
          <w:rFonts w:ascii="方正小标宋简体" w:hAnsi="方正小标宋简体" w:eastAsia="方正小标宋简体" w:cs="方正小标宋简体"/>
          <w:color w:val="auto"/>
          <w:sz w:val="32"/>
          <w:szCs w:val="32"/>
          <w:highlight w:val="none"/>
        </w:rPr>
        <w:t>政府采购活动现场确认声明书</w:t>
      </w:r>
    </w:p>
    <w:p>
      <w:pPr>
        <w:pStyle w:val="150"/>
        <w:keepNext w:val="0"/>
        <w:keepLines w:val="0"/>
        <w:pageBreakBefore w:val="0"/>
        <w:widowControl w:val="0"/>
        <w:kinsoku/>
        <w:wordWrap/>
        <w:overflowPunct/>
        <w:topLinePunct w:val="0"/>
        <w:bidi w:val="0"/>
        <w:snapToGrid w:val="0"/>
        <w:spacing w:line="36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6"/>
          <w:sz w:val="24"/>
          <w:szCs w:val="24"/>
          <w:highlight w:val="none"/>
          <w:u w:val="single"/>
          <w:lang w:eastAsia="zh-CN"/>
        </w:rPr>
        <w:t>耀华建设管理有限公司</w:t>
      </w:r>
      <w:r>
        <w:rPr>
          <w:rFonts w:ascii="仿宋" w:hAnsi="仿宋" w:eastAsia="仿宋" w:cs="仿宋"/>
          <w:color w:val="auto"/>
          <w:kern w:val="0"/>
          <w:sz w:val="24"/>
          <w:szCs w:val="24"/>
          <w:highlight w:val="none"/>
        </w:rPr>
        <w:t>（采购组织机构名称）：</w:t>
      </w:r>
    </w:p>
    <w:p>
      <w:pPr>
        <w:keepNext w:val="0"/>
        <w:keepLines w:val="0"/>
        <w:pageBreakBefore w:val="0"/>
        <w:widowControl w:val="0"/>
        <w:kinsoku/>
        <w:wordWrap/>
        <w:overflowPunct/>
        <w:topLinePunct w:val="0"/>
        <w:autoSpaceDE/>
        <w:autoSpaceDN/>
        <w:bidi w:val="0"/>
        <w:adjustRightInd w:val="0"/>
        <w:snapToGrid/>
        <w:spacing w:line="360" w:lineRule="exact"/>
        <w:ind w:left="240" w:leftChars="109" w:firstLine="252" w:firstLineChars="1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经由</w:t>
      </w:r>
      <w:r>
        <w:rPr>
          <w:rFonts w:hint="eastAsia" w:ascii="仿宋" w:hAnsi="仿宋" w:eastAsia="仿宋" w:cs="仿宋"/>
          <w:color w:val="auto"/>
          <w:spacing w:val="6"/>
          <w:sz w:val="24"/>
          <w:szCs w:val="24"/>
          <w:highlight w:val="none"/>
          <w:lang w:eastAsia="zh-CN"/>
        </w:rPr>
        <w:t>投标</w:t>
      </w:r>
      <w:r>
        <w:rPr>
          <w:rFonts w:hint="eastAsia" w:ascii="仿宋" w:hAnsi="仿宋" w:eastAsia="仿宋" w:cs="仿宋"/>
          <w:color w:val="auto"/>
          <w:spacing w:val="6"/>
          <w:sz w:val="24"/>
          <w:szCs w:val="24"/>
          <w:highlight w:val="none"/>
        </w:rPr>
        <w:t>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合法授权参加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eastAsia="zh-CN"/>
        </w:rPr>
        <w:t>项目</w:t>
      </w:r>
      <w:r>
        <w:rPr>
          <w:rFonts w:hint="eastAsia" w:ascii="仿宋" w:hAnsi="仿宋" w:eastAsia="仿宋" w:cs="仿宋"/>
          <w:color w:val="auto"/>
          <w:spacing w:val="6"/>
          <w:sz w:val="24"/>
          <w:szCs w:val="24"/>
          <w:highlight w:val="none"/>
        </w:rPr>
        <w:t>（编号</w:t>
      </w:r>
      <w:r>
        <w:rPr>
          <w:rFonts w:hint="eastAsia" w:ascii="仿宋" w:hAnsi="仿宋" w:eastAsia="仿宋" w:cs="仿宋"/>
          <w:color w:val="auto"/>
          <w:spacing w:val="6"/>
          <w:sz w:val="24"/>
          <w:szCs w:val="24"/>
          <w:highlight w:val="none"/>
          <w:u w:val="none"/>
          <w:lang w:eastAsia="zh-CN"/>
        </w:rPr>
        <w:t>：</w:t>
      </w:r>
      <w:r>
        <w:rPr>
          <w:rFonts w:hint="eastAsia" w:ascii="仿宋" w:hAnsi="仿宋" w:eastAsia="仿宋" w:cs="仿宋"/>
          <w:color w:val="auto"/>
          <w:spacing w:val="6"/>
          <w:sz w:val="24"/>
          <w:szCs w:val="24"/>
          <w:highlight w:val="none"/>
          <w:u w:val="none"/>
          <w:lang w:val="en-US" w:eastAsia="zh-CN"/>
        </w:rPr>
        <w:t xml:space="preserve">       </w:t>
      </w:r>
      <w:r>
        <w:rPr>
          <w:rFonts w:hint="eastAsia" w:ascii="仿宋" w:hAnsi="仿宋" w:eastAsia="仿宋" w:cs="仿宋"/>
          <w:color w:val="auto"/>
          <w:spacing w:val="6"/>
          <w:sz w:val="24"/>
          <w:szCs w:val="24"/>
          <w:highlight w:val="none"/>
        </w:rPr>
        <w:t>）政府采购活动，经与本单位法人代表</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 xml:space="preserve">联系确认，现就有关公平竞争事项郑重声明如下： </w:t>
      </w:r>
    </w:p>
    <w:p>
      <w:pPr>
        <w:pStyle w:val="151"/>
        <w:keepNext w:val="0"/>
        <w:keepLines w:val="0"/>
        <w:pageBreakBefore w:val="0"/>
        <w:widowControl/>
        <w:numPr>
          <w:ilvl w:val="0"/>
          <w:numId w:val="8"/>
        </w:numPr>
        <w:kinsoku/>
        <w:wordWrap/>
        <w:overflowPunct/>
        <w:topLinePunct w:val="0"/>
        <w:bidi w:val="0"/>
        <w:snapToGrid w:val="0"/>
        <w:spacing w:line="360" w:lineRule="exact"/>
        <w:ind w:firstLine="453" w:firstLineChars="189"/>
        <w:textAlignment w:val="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本单位与采购人之间 □不存在利害关系 □存在下列利害关系</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p>
    <w:p>
      <w:pPr>
        <w:pStyle w:val="151"/>
        <w:keepNext w:val="0"/>
        <w:keepLines w:val="0"/>
        <w:pageBreakBefore w:val="0"/>
        <w:widowControl/>
        <w:kinsoku/>
        <w:wordWrap/>
        <w:overflowPunct/>
        <w:topLinePunct w:val="0"/>
        <w:bidi w:val="0"/>
        <w:snapToGrid w:val="0"/>
        <w:spacing w:line="360" w:lineRule="exact"/>
        <w:textAlignment w:val="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A.投资关系    B.行政隶属关系    C.业务指导关系</w:t>
      </w:r>
    </w:p>
    <w:p>
      <w:pPr>
        <w:pStyle w:val="151"/>
        <w:keepNext w:val="0"/>
        <w:keepLines w:val="0"/>
        <w:pageBreakBefore w:val="0"/>
        <w:widowControl/>
        <w:kinsoku/>
        <w:wordWrap/>
        <w:overflowPunct/>
        <w:topLinePunct w:val="0"/>
        <w:bidi w:val="0"/>
        <w:snapToGrid w:val="0"/>
        <w:spacing w:line="360" w:lineRule="exact"/>
        <w:textAlignment w:val="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D.其他可能</w:t>
      </w:r>
      <w:r>
        <w:rPr>
          <w:rFonts w:ascii="仿宋" w:hAnsi="仿宋" w:eastAsia="仿宋" w:cs="仿宋"/>
          <w:color w:val="auto"/>
          <w:sz w:val="24"/>
          <w:szCs w:val="24"/>
          <w:highlight w:val="none"/>
        </w:rPr>
        <w:t>影响采购公正的</w:t>
      </w:r>
      <w:r>
        <w:rPr>
          <w:rFonts w:ascii="仿宋" w:hAnsi="仿宋" w:eastAsia="仿宋" w:cs="仿宋"/>
          <w:color w:val="auto"/>
          <w:kern w:val="0"/>
          <w:sz w:val="24"/>
          <w:szCs w:val="24"/>
          <w:highlight w:val="none"/>
        </w:rPr>
        <w:t>利害关系</w:t>
      </w:r>
      <w:r>
        <w:rPr>
          <w:rFonts w:ascii="仿宋" w:hAnsi="仿宋" w:eastAsia="仿宋" w:cs="仿宋"/>
          <w:color w:val="auto"/>
          <w:kern w:val="0"/>
          <w:sz w:val="24"/>
          <w:szCs w:val="24"/>
          <w:highlight w:val="none"/>
          <w:u w:val="single"/>
        </w:rPr>
        <w:t xml:space="preserve">（如有，请如实说明）                 </w:t>
      </w:r>
      <w:r>
        <w:rPr>
          <w:rFonts w:ascii="仿宋" w:hAnsi="仿宋" w:eastAsia="仿宋" w:cs="仿宋"/>
          <w:color w:val="auto"/>
          <w:kern w:val="0"/>
          <w:sz w:val="24"/>
          <w:szCs w:val="24"/>
          <w:highlight w:val="none"/>
        </w:rPr>
        <w:t>。</w:t>
      </w:r>
    </w:p>
    <w:p>
      <w:pPr>
        <w:pStyle w:val="151"/>
        <w:keepNext w:val="0"/>
        <w:keepLines w:val="0"/>
        <w:pageBreakBefore w:val="0"/>
        <w:widowControl/>
        <w:kinsoku/>
        <w:wordWrap/>
        <w:overflowPunct/>
        <w:topLinePunct w:val="0"/>
        <w:bidi w:val="0"/>
        <w:snapToGrid w:val="0"/>
        <w:spacing w:line="360" w:lineRule="exact"/>
        <w:textAlignment w:val="auto"/>
        <w:rPr>
          <w:rFonts w:ascii="仿宋" w:hAnsi="仿宋" w:eastAsia="仿宋" w:cs="仿宋"/>
          <w:color w:val="auto"/>
          <w:kern w:val="0"/>
          <w:sz w:val="24"/>
          <w:szCs w:val="24"/>
          <w:highlight w:val="none"/>
        </w:rPr>
      </w:pPr>
      <w:r>
        <w:rPr>
          <w:rFonts w:ascii="仿宋" w:hAnsi="仿宋" w:eastAsia="仿宋" w:cs="仿宋"/>
          <w:color w:val="auto"/>
          <w:spacing w:val="6"/>
          <w:sz w:val="24"/>
          <w:szCs w:val="24"/>
          <w:highlight w:val="none"/>
        </w:rPr>
        <w:t xml:space="preserve">  二、</w:t>
      </w:r>
      <w:r>
        <w:rPr>
          <w:rFonts w:ascii="仿宋" w:hAnsi="仿宋" w:eastAsia="仿宋" w:cs="仿宋"/>
          <w:color w:val="auto"/>
          <w:kern w:val="0"/>
          <w:sz w:val="24"/>
          <w:szCs w:val="24"/>
          <w:highlight w:val="none"/>
        </w:rPr>
        <w:t>现已清楚知道参加本项目采购活动的其他所有供应商名称，本单位 □与其他所有供应商之间均不存在利害关系 □与</w:t>
      </w:r>
      <w:r>
        <w:rPr>
          <w:rFonts w:ascii="仿宋" w:hAnsi="仿宋" w:eastAsia="仿宋" w:cs="仿宋"/>
          <w:color w:val="auto"/>
          <w:kern w:val="0"/>
          <w:sz w:val="24"/>
          <w:szCs w:val="24"/>
          <w:highlight w:val="none"/>
          <w:u w:val="single"/>
        </w:rPr>
        <w:t xml:space="preserve">           （供应商名称）</w:t>
      </w:r>
      <w:r>
        <w:rPr>
          <w:rFonts w:ascii="仿宋" w:hAnsi="仿宋" w:eastAsia="仿宋" w:cs="仿宋"/>
          <w:color w:val="auto"/>
          <w:kern w:val="0"/>
          <w:sz w:val="24"/>
          <w:szCs w:val="24"/>
          <w:highlight w:val="none"/>
        </w:rPr>
        <w:t>之间存在下列利害关系</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p>
    <w:p>
      <w:pPr>
        <w:pStyle w:val="150"/>
        <w:keepNext w:val="0"/>
        <w:keepLines w:val="0"/>
        <w:pageBreakBefore w:val="0"/>
        <w:widowControl w:val="0"/>
        <w:kinsoku/>
        <w:wordWrap/>
        <w:overflowPunct/>
        <w:topLinePunct w:val="0"/>
        <w:bidi w:val="0"/>
        <w:snapToGrid w:val="0"/>
        <w:spacing w:line="360" w:lineRule="exact"/>
        <w:jc w:val="both"/>
        <w:textAlignment w:val="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A.法定代表人或负责人或实际控制人是同一人</w:t>
      </w:r>
    </w:p>
    <w:p>
      <w:pPr>
        <w:pStyle w:val="150"/>
        <w:keepNext w:val="0"/>
        <w:keepLines w:val="0"/>
        <w:pageBreakBefore w:val="0"/>
        <w:widowControl w:val="0"/>
        <w:kinsoku/>
        <w:wordWrap/>
        <w:overflowPunct/>
        <w:topLinePunct w:val="0"/>
        <w:bidi w:val="0"/>
        <w:snapToGrid w:val="0"/>
        <w:spacing w:line="360" w:lineRule="exact"/>
        <w:jc w:val="both"/>
        <w:textAlignment w:val="auto"/>
        <w:rPr>
          <w:rFonts w:hint="eastAsia" w:ascii="仿宋" w:hAnsi="仿宋" w:eastAsia="仿宋" w:cs="仿宋"/>
          <w:color w:val="auto"/>
          <w:spacing w:val="6"/>
          <w:sz w:val="24"/>
          <w:szCs w:val="24"/>
          <w:highlight w:val="none"/>
        </w:rPr>
      </w:pPr>
      <w:r>
        <w:rPr>
          <w:rFonts w:ascii="仿宋" w:hAnsi="仿宋" w:eastAsia="仿宋" w:cs="仿宋"/>
          <w:color w:val="auto"/>
          <w:kern w:val="0"/>
          <w:sz w:val="24"/>
          <w:szCs w:val="24"/>
          <w:highlight w:val="none"/>
        </w:rPr>
        <w:t xml:space="preserve">  B.法定代表人或负责人或实际控制人是夫妻关系</w:t>
      </w:r>
    </w:p>
    <w:p>
      <w:pPr>
        <w:pStyle w:val="150"/>
        <w:keepNext w:val="0"/>
        <w:keepLines w:val="0"/>
        <w:pageBreakBefore w:val="0"/>
        <w:widowControl w:val="0"/>
        <w:kinsoku/>
        <w:wordWrap/>
        <w:overflowPunct/>
        <w:topLinePunct w:val="0"/>
        <w:bidi w:val="0"/>
        <w:snapToGrid w:val="0"/>
        <w:spacing w:line="360" w:lineRule="exact"/>
        <w:jc w:val="both"/>
        <w:textAlignment w:val="auto"/>
        <w:rPr>
          <w:rFonts w:hint="eastAsia" w:ascii="仿宋" w:hAnsi="仿宋" w:eastAsia="仿宋" w:cs="仿宋"/>
          <w:color w:val="auto"/>
          <w:spacing w:val="6"/>
          <w:sz w:val="24"/>
          <w:szCs w:val="24"/>
          <w:highlight w:val="none"/>
        </w:rPr>
      </w:pPr>
      <w:r>
        <w:rPr>
          <w:rFonts w:ascii="仿宋" w:hAnsi="仿宋" w:eastAsia="仿宋" w:cs="仿宋"/>
          <w:color w:val="auto"/>
          <w:kern w:val="0"/>
          <w:sz w:val="24"/>
          <w:szCs w:val="24"/>
          <w:highlight w:val="none"/>
        </w:rPr>
        <w:t xml:space="preserve">  C.法定代表人或负责人或实际控制人是直系血亲关系</w:t>
      </w:r>
    </w:p>
    <w:p>
      <w:pPr>
        <w:pStyle w:val="150"/>
        <w:keepNext w:val="0"/>
        <w:keepLines w:val="0"/>
        <w:pageBreakBefore w:val="0"/>
        <w:widowControl w:val="0"/>
        <w:kinsoku/>
        <w:wordWrap/>
        <w:overflowPunct/>
        <w:topLinePunct w:val="0"/>
        <w:bidi w:val="0"/>
        <w:snapToGrid w:val="0"/>
        <w:spacing w:line="360" w:lineRule="exact"/>
        <w:jc w:val="both"/>
        <w:textAlignment w:val="auto"/>
        <w:rPr>
          <w:rFonts w:hint="eastAsia" w:ascii="仿宋" w:hAnsi="仿宋" w:eastAsia="仿宋" w:cs="仿宋"/>
          <w:color w:val="auto"/>
          <w:spacing w:val="6"/>
          <w:sz w:val="24"/>
          <w:szCs w:val="24"/>
          <w:highlight w:val="none"/>
        </w:rPr>
      </w:pPr>
      <w:r>
        <w:rPr>
          <w:rFonts w:ascii="仿宋" w:hAnsi="仿宋" w:eastAsia="仿宋" w:cs="仿宋"/>
          <w:color w:val="auto"/>
          <w:kern w:val="0"/>
          <w:sz w:val="24"/>
          <w:szCs w:val="24"/>
          <w:highlight w:val="none"/>
        </w:rPr>
        <w:t xml:space="preserve">  D.法定代表人或负责人或实际控制人存在三代以内旁系血亲关系</w:t>
      </w:r>
    </w:p>
    <w:p>
      <w:pPr>
        <w:pStyle w:val="150"/>
        <w:keepNext w:val="0"/>
        <w:keepLines w:val="0"/>
        <w:pageBreakBefore w:val="0"/>
        <w:widowControl w:val="0"/>
        <w:kinsoku/>
        <w:wordWrap/>
        <w:overflowPunct/>
        <w:topLinePunct w:val="0"/>
        <w:bidi w:val="0"/>
        <w:snapToGrid w:val="0"/>
        <w:spacing w:line="360" w:lineRule="exact"/>
        <w:jc w:val="both"/>
        <w:textAlignment w:val="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E.法定代表人或负责人或实际控制人存在近姻亲关系</w:t>
      </w:r>
    </w:p>
    <w:p>
      <w:pPr>
        <w:pStyle w:val="150"/>
        <w:keepNext w:val="0"/>
        <w:keepLines w:val="0"/>
        <w:pageBreakBefore w:val="0"/>
        <w:widowControl w:val="0"/>
        <w:kinsoku/>
        <w:wordWrap/>
        <w:overflowPunct/>
        <w:topLinePunct w:val="0"/>
        <w:bidi w:val="0"/>
        <w:snapToGrid w:val="0"/>
        <w:spacing w:line="360" w:lineRule="exact"/>
        <w:jc w:val="both"/>
        <w:textAlignment w:val="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F.法定代表人或负责人或实际控制人存在股份控制或实际控制关系</w:t>
      </w:r>
    </w:p>
    <w:p>
      <w:pPr>
        <w:pStyle w:val="150"/>
        <w:keepNext w:val="0"/>
        <w:keepLines w:val="0"/>
        <w:pageBreakBefore w:val="0"/>
        <w:widowControl w:val="0"/>
        <w:kinsoku/>
        <w:wordWrap/>
        <w:overflowPunct/>
        <w:topLinePunct w:val="0"/>
        <w:bidi w:val="0"/>
        <w:snapToGrid w:val="0"/>
        <w:spacing w:line="360" w:lineRule="exact"/>
        <w:jc w:val="both"/>
        <w:textAlignment w:val="auto"/>
        <w:outlineLvl w:val="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G.存在共同直接或间接投资设立子公司、联营企业和合营企业情况</w:t>
      </w:r>
    </w:p>
    <w:p>
      <w:pPr>
        <w:pStyle w:val="150"/>
        <w:keepNext w:val="0"/>
        <w:keepLines w:val="0"/>
        <w:pageBreakBefore w:val="0"/>
        <w:widowControl w:val="0"/>
        <w:kinsoku/>
        <w:wordWrap/>
        <w:overflowPunct/>
        <w:topLinePunct w:val="0"/>
        <w:bidi w:val="0"/>
        <w:snapToGrid w:val="0"/>
        <w:spacing w:line="360" w:lineRule="exact"/>
        <w:jc w:val="both"/>
        <w:textAlignment w:val="auto"/>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H.存在分级代理或代销关系、同一生产制造商关系、</w:t>
      </w:r>
      <w:r>
        <w:rPr>
          <w:rFonts w:ascii="仿宋" w:hAnsi="仿宋" w:eastAsia="仿宋" w:cs="仿宋"/>
          <w:color w:val="auto"/>
          <w:sz w:val="24"/>
          <w:szCs w:val="24"/>
          <w:highlight w:val="none"/>
        </w:rPr>
        <w:t>管理关系、重要业务（占主营业务收入50%以上）或重要财务往来关系（如融资）等其他实质性控制关系</w:t>
      </w:r>
    </w:p>
    <w:p>
      <w:pPr>
        <w:pStyle w:val="150"/>
        <w:keepNext w:val="0"/>
        <w:keepLines w:val="0"/>
        <w:pageBreakBefore w:val="0"/>
        <w:widowControl w:val="0"/>
        <w:kinsoku/>
        <w:wordWrap/>
        <w:overflowPunct/>
        <w:topLinePunct w:val="0"/>
        <w:bidi w:val="0"/>
        <w:snapToGrid w:val="0"/>
        <w:spacing w:line="360" w:lineRule="exact"/>
        <w:jc w:val="both"/>
        <w:textAlignment w:val="auto"/>
        <w:rPr>
          <w:rFonts w:hint="eastAsia" w:ascii="仿宋" w:hAnsi="仿宋" w:eastAsia="仿宋" w:cs="仿宋"/>
          <w:color w:val="auto"/>
          <w:spacing w:val="6"/>
          <w:sz w:val="24"/>
          <w:szCs w:val="24"/>
          <w:highlight w:val="none"/>
        </w:rPr>
      </w:pPr>
      <w:r>
        <w:rPr>
          <w:rFonts w:ascii="仿宋" w:hAnsi="仿宋" w:eastAsia="仿宋" w:cs="仿宋"/>
          <w:color w:val="auto"/>
          <w:sz w:val="24"/>
          <w:szCs w:val="24"/>
          <w:highlight w:val="none"/>
        </w:rPr>
        <w:t xml:space="preserve">    I</w:t>
      </w:r>
      <w:r>
        <w:rPr>
          <w:rFonts w:ascii="仿宋" w:hAnsi="仿宋" w:eastAsia="仿宋" w:cs="仿宋"/>
          <w:color w:val="auto"/>
          <w:kern w:val="0"/>
          <w:sz w:val="24"/>
          <w:szCs w:val="24"/>
          <w:highlight w:val="none"/>
        </w:rPr>
        <w:t>.</w:t>
      </w:r>
      <w:r>
        <w:rPr>
          <w:rFonts w:ascii="仿宋" w:hAnsi="仿宋" w:eastAsia="仿宋" w:cs="仿宋"/>
          <w:color w:val="auto"/>
          <w:sz w:val="24"/>
          <w:szCs w:val="24"/>
          <w:highlight w:val="none"/>
        </w:rPr>
        <w:t>其他利害关系情况</w:t>
      </w:r>
      <w:r>
        <w:rPr>
          <w:rFonts w:ascii="仿宋" w:hAnsi="仿宋" w:eastAsia="仿宋" w:cs="仿宋"/>
          <w:color w:val="auto"/>
          <w:sz w:val="24"/>
          <w:szCs w:val="24"/>
          <w:highlight w:val="none"/>
          <w:u w:val="single"/>
        </w:rPr>
        <w:t xml:space="preserve">                              </w:t>
      </w:r>
      <w:r>
        <w:rPr>
          <w:rFonts w:ascii="仿宋" w:hAnsi="仿宋" w:eastAsia="仿宋" w:cs="仿宋"/>
          <w:color w:val="auto"/>
          <w:kern w:val="0"/>
          <w:sz w:val="24"/>
          <w:szCs w:val="24"/>
          <w:highlight w:val="none"/>
        </w:rPr>
        <w:t>。</w:t>
      </w:r>
    </w:p>
    <w:p>
      <w:pPr>
        <w:pStyle w:val="151"/>
        <w:keepNext w:val="0"/>
        <w:keepLines w:val="0"/>
        <w:pageBreakBefore w:val="0"/>
        <w:widowControl/>
        <w:numPr>
          <w:ilvl w:val="0"/>
          <w:numId w:val="9"/>
        </w:numPr>
        <w:kinsoku/>
        <w:wordWrap/>
        <w:overflowPunct/>
        <w:topLinePunct w:val="0"/>
        <w:bidi w:val="0"/>
        <w:snapToGrid w:val="0"/>
        <w:spacing w:line="360" w:lineRule="exact"/>
        <w:ind w:firstLine="453" w:firstLineChars="189"/>
        <w:textAlignment w:val="auto"/>
        <w:rPr>
          <w:rFonts w:ascii="仿宋" w:hAnsi="仿宋" w:eastAsia="仿宋" w:cs="仿宋"/>
          <w:color w:val="auto"/>
          <w:kern w:val="0"/>
          <w:sz w:val="24"/>
          <w:szCs w:val="24"/>
          <w:highlight w:val="none"/>
        </w:rPr>
      </w:pPr>
      <w:r>
        <w:rPr>
          <w:rFonts w:ascii="仿宋" w:hAnsi="仿宋" w:eastAsia="仿宋" w:cs="仿宋"/>
          <w:color w:val="auto"/>
          <w:sz w:val="24"/>
          <w:szCs w:val="24"/>
          <w:highlight w:val="none"/>
        </w:rPr>
        <w:t>现已清楚知道并</w:t>
      </w:r>
      <w:r>
        <w:rPr>
          <w:rFonts w:ascii="仿宋" w:hAnsi="仿宋" w:eastAsia="仿宋" w:cs="仿宋"/>
          <w:color w:val="auto"/>
          <w:kern w:val="0"/>
          <w:sz w:val="24"/>
          <w:szCs w:val="24"/>
          <w:highlight w:val="none"/>
        </w:rPr>
        <w:t>严格遵守政府采购法律法规和现场纪律。</w:t>
      </w:r>
    </w:p>
    <w:p>
      <w:pPr>
        <w:pStyle w:val="151"/>
        <w:keepNext w:val="0"/>
        <w:keepLines w:val="0"/>
        <w:pageBreakBefore w:val="0"/>
        <w:widowControl/>
        <w:numPr>
          <w:ilvl w:val="0"/>
          <w:numId w:val="9"/>
        </w:numPr>
        <w:kinsoku/>
        <w:wordWrap/>
        <w:overflowPunct/>
        <w:topLinePunct w:val="0"/>
        <w:bidi w:val="0"/>
        <w:snapToGrid w:val="0"/>
        <w:spacing w:line="360" w:lineRule="exact"/>
        <w:ind w:firstLine="453" w:firstLineChars="189"/>
        <w:textAlignment w:val="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我发现</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供应商之间存在或可能存在上述第二条第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项利害关系。</w:t>
      </w:r>
    </w:p>
    <w:p>
      <w:pPr>
        <w:pStyle w:val="150"/>
        <w:keepNext w:val="0"/>
        <w:keepLines w:val="0"/>
        <w:pageBreakBefore w:val="0"/>
        <w:widowControl w:val="0"/>
        <w:kinsoku/>
        <w:wordWrap/>
        <w:overflowPunct/>
        <w:topLinePunct w:val="0"/>
        <w:bidi w:val="0"/>
        <w:snapToGrid w:val="0"/>
        <w:spacing w:line="360" w:lineRule="exact"/>
        <w:ind w:firstLine="480" w:firstLineChars="200"/>
        <w:jc w:val="both"/>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（供应商代表签名） </w:t>
      </w:r>
    </w:p>
    <w:p>
      <w:pPr>
        <w:pStyle w:val="24"/>
        <w:autoSpaceDE/>
        <w:autoSpaceDN/>
        <w:spacing w:line="360" w:lineRule="exact"/>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p>
    <w:p>
      <w:pPr>
        <w:pStyle w:val="152"/>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注：投标人在结束解密后30分钟内将填写完整且经授权代表签署的《采购活动现场确认声明书》扫描件发至经办人邮箱（邮箱地址：1292554706</w:t>
      </w:r>
      <w:r>
        <w:rPr>
          <w:rFonts w:hint="eastAsia" w:ascii="仿宋" w:hAnsi="仿宋" w:eastAsia="仿宋" w:cs="仿宋"/>
          <w:color w:val="auto"/>
          <w:sz w:val="24"/>
          <w:szCs w:val="24"/>
          <w:highlight w:val="none"/>
          <w:lang w:val="en-US" w:eastAsia="zh-CN"/>
        </w:rPr>
        <w:t>@qq.com</w:t>
      </w:r>
      <w:r>
        <w:rPr>
          <w:rFonts w:hint="eastAsia" w:ascii="仿宋" w:hAnsi="仿宋" w:eastAsia="仿宋" w:cs="仿宋"/>
          <w:color w:val="auto"/>
          <w:sz w:val="24"/>
          <w:szCs w:val="24"/>
          <w:highlight w:val="none"/>
        </w:rPr>
        <w:t>）</w:t>
      </w:r>
    </w:p>
    <w:p>
      <w:pPr>
        <w:rPr>
          <w:rFonts w:hint="eastAsia"/>
          <w:color w:val="auto"/>
          <w:highlight w:val="none"/>
        </w:rPr>
      </w:pPr>
    </w:p>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0000500000000020000"/>
    <w:charset w:val="00"/>
    <w:family w:val="auto"/>
    <w:pitch w:val="default"/>
    <w:sig w:usb0="00000000" w:usb1="00000000" w:usb2="00000000" w:usb3="00000000" w:csb0="2000019F" w:csb1="4F01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5"/>
        <w:rFonts w:hint="eastAsia"/>
      </w:rPr>
    </w:pPr>
    <w:r>
      <w:rPr>
        <w:rStyle w:val="45"/>
      </w:rPr>
      <w:fldChar w:fldCharType="begin"/>
    </w:r>
    <w:r>
      <w:rPr>
        <w:rStyle w:val="45"/>
      </w:rPr>
      <w:instrText xml:space="preserve"> PAGE </w:instrText>
    </w:r>
    <w:r>
      <w:rPr>
        <w:rStyle w:val="45"/>
      </w:rPr>
      <w:fldChar w:fldCharType="end"/>
    </w:r>
  </w:p>
  <w:p>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a:effectLst/>
                    </wps:spPr>
                    <wps:txbx>
                      <w:txbxContent>
                        <w:p>
                          <w:pPr>
                            <w:pStyle w:val="28"/>
                            <w:rPr>
                              <w:rFonts w:hint="eastAsia"/>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jY9Z0QAAAAMBAAAPAAAAAAAAAAEAIAAAACIAAABkcnMvZG93bnJl&#10;di54bWxQSwECFAAUAAAACACHTuJARb0f68sBAACZAwAADgAAAAAAAAABACAAAAAgAQAAZHJzL2Uy&#10;b0RvYy54bWxQSwUGAAAAAAYABgBZAQAAXQUAAAAA&#10;">
              <v:fill on="f" focussize="0,0"/>
              <v:stroke on="f"/>
              <v:imagedata o:title=""/>
              <o:lock v:ext="edit" aspectratio="f"/>
              <v:textbox inset="0mm,0mm,0mm,0mm" style="mso-fit-shape-to-text:t;">
                <w:txbxContent>
                  <w:p>
                    <w:pPr>
                      <w:pStyle w:val="28"/>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5009"/>
        <w:tab w:val="clear" w:pos="4153"/>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firstLine="0" w:firstLineChars="0"/>
      <w:rPr>
        <w:rFonts w:ascii="仿宋" w:hAnsi="仿宋" w:eastAsia="仿宋" w:cs="仿宋"/>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1BCB7"/>
    <w:multiLevelType w:val="singleLevel"/>
    <w:tmpl w:val="AE41BCB7"/>
    <w:lvl w:ilvl="0" w:tentative="0">
      <w:start w:val="2"/>
      <w:numFmt w:val="chineseCounting"/>
      <w:suff w:val="nothing"/>
      <w:lvlText w:val="%1、"/>
      <w:lvlJc w:val="left"/>
      <w:rPr>
        <w:rFonts w:hint="eastAsia"/>
      </w:rPr>
    </w:lvl>
  </w:abstractNum>
  <w:abstractNum w:abstractNumId="1">
    <w:nsid w:val="C67A89BC"/>
    <w:multiLevelType w:val="singleLevel"/>
    <w:tmpl w:val="C67A89BC"/>
    <w:lvl w:ilvl="0" w:tentative="0">
      <w:start w:val="2"/>
      <w:numFmt w:val="decimal"/>
      <w:suff w:val="nothing"/>
      <w:lvlText w:val="%1、"/>
      <w:lvlJc w:val="left"/>
    </w:lvl>
  </w:abstractNum>
  <w:abstractNum w:abstractNumId="2">
    <w:nsid w:val="EF3E878C"/>
    <w:multiLevelType w:val="singleLevel"/>
    <w:tmpl w:val="EF3E878C"/>
    <w:lvl w:ilvl="0" w:tentative="0">
      <w:start w:val="4"/>
      <w:numFmt w:val="chineseCounting"/>
      <w:suff w:val="nothing"/>
      <w:lvlText w:val="%1、"/>
      <w:lvlJc w:val="left"/>
      <w:rPr>
        <w:rFonts w:hint="eastAsia"/>
      </w:rPr>
    </w:lvl>
  </w:abstractNum>
  <w:abstractNum w:abstractNumId="3">
    <w:nsid w:val="F05FC1BF"/>
    <w:multiLevelType w:val="singleLevel"/>
    <w:tmpl w:val="F05FC1BF"/>
    <w:lvl w:ilvl="0" w:tentative="0">
      <w:start w:val="1"/>
      <w:numFmt w:val="decimal"/>
      <w:pStyle w:val="13"/>
      <w:lvlText w:val="%1."/>
      <w:lvlJc w:val="left"/>
      <w:pPr>
        <w:tabs>
          <w:tab w:val="left" w:pos="360"/>
        </w:tabs>
        <w:ind w:left="360" w:hanging="360"/>
      </w:pPr>
    </w:lvl>
  </w:abstractNum>
  <w:abstractNum w:abstractNumId="4">
    <w:nsid w:val="00000012"/>
    <w:multiLevelType w:val="singleLevel"/>
    <w:tmpl w:val="00000012"/>
    <w:lvl w:ilvl="0" w:tentative="0">
      <w:start w:val="1"/>
      <w:numFmt w:val="decimal"/>
      <w:pStyle w:val="21"/>
      <w:lvlText w:val="%1."/>
      <w:lvlJc w:val="left"/>
      <w:pPr>
        <w:tabs>
          <w:tab w:val="left" w:pos="1200"/>
        </w:tabs>
        <w:ind w:left="1200" w:hanging="360"/>
      </w:pPr>
    </w:lvl>
  </w:abstractNum>
  <w:abstractNum w:abstractNumId="5">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6"/>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6">
    <w:nsid w:val="45133286"/>
    <w:multiLevelType w:val="multilevel"/>
    <w:tmpl w:val="45133286"/>
    <w:lvl w:ilvl="0" w:tentative="0">
      <w:start w:val="1"/>
      <w:numFmt w:val="chineseCountingThousand"/>
      <w:pStyle w:val="3"/>
      <w:lvlText w:val="%1."/>
      <w:lvlJc w:val="left"/>
      <w:pPr>
        <w:ind w:left="0" w:firstLine="0"/>
      </w:pPr>
      <w:rPr>
        <w:rFonts w:hint="eastAsia" w:ascii="宋体" w:hAnsi="宋体" w:eastAsia="宋体"/>
        <w:b/>
        <w:i w:val="0"/>
        <w:sz w:val="32"/>
        <w:szCs w:val="21"/>
      </w:rPr>
    </w:lvl>
    <w:lvl w:ilvl="1" w:tentative="0">
      <w:start w:val="1"/>
      <w:numFmt w:val="decimal"/>
      <w:pStyle w:val="4"/>
      <w:lvlText w:val="%2."/>
      <w:lvlJc w:val="left"/>
      <w:pPr>
        <w:ind w:left="0" w:firstLine="0"/>
      </w:pPr>
      <w:rPr>
        <w:rFonts w:hint="eastAsia"/>
      </w:rPr>
    </w:lvl>
    <w:lvl w:ilvl="2" w:tentative="0">
      <w:start w:val="1"/>
      <w:numFmt w:val="decimal"/>
      <w:pStyle w:val="5"/>
      <w:lvlText w:val="%2.%3."/>
      <w:lvlJc w:val="left"/>
      <w:pPr>
        <w:ind w:left="0" w:firstLine="0"/>
      </w:pPr>
      <w:rPr>
        <w:rFonts w:hint="eastAsia"/>
      </w:rPr>
    </w:lvl>
    <w:lvl w:ilvl="3" w:tentative="0">
      <w:start w:val="1"/>
      <w:numFmt w:val="decimal"/>
      <w:lvlText w:val="%2.%3.%4."/>
      <w:lvlJc w:val="left"/>
      <w:pPr>
        <w:ind w:left="0" w:firstLine="0"/>
      </w:pPr>
      <w:rPr>
        <w:rFonts w:hint="eastAsia"/>
      </w:rPr>
    </w:lvl>
    <w:lvl w:ilvl="4" w:tentative="0">
      <w:start w:val="1"/>
      <w:numFmt w:val="decimal"/>
      <w:lvlText w:val="%2.%3.%4.%5."/>
      <w:lvlJc w:val="left"/>
      <w:pPr>
        <w:ind w:left="0" w:firstLine="0"/>
      </w:pPr>
      <w:rPr>
        <w:rFonts w:hint="eastAsia"/>
      </w:rPr>
    </w:lvl>
    <w:lvl w:ilvl="5" w:tentative="0">
      <w:start w:val="1"/>
      <w:numFmt w:val="decimal"/>
      <w:isLgl/>
      <w:lvlText w:val="%2.%3.%4.%5.%6."/>
      <w:lvlJc w:val="left"/>
      <w:pPr>
        <w:ind w:left="0" w:firstLine="0"/>
      </w:pPr>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dit="trackedChanges"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jY2VkMjAzOTY0NDMwNmM3NDhiYzY2YjNiNGYzY2MifQ=="/>
  </w:docVars>
  <w:rsids>
    <w:rsidRoot w:val="00F85E7C"/>
    <w:rsid w:val="00006218"/>
    <w:rsid w:val="00007ED6"/>
    <w:rsid w:val="00007F3B"/>
    <w:rsid w:val="00011211"/>
    <w:rsid w:val="00012468"/>
    <w:rsid w:val="00015A8C"/>
    <w:rsid w:val="00016E05"/>
    <w:rsid w:val="000235A8"/>
    <w:rsid w:val="000322F6"/>
    <w:rsid w:val="00041E58"/>
    <w:rsid w:val="00043948"/>
    <w:rsid w:val="000452D8"/>
    <w:rsid w:val="00052A18"/>
    <w:rsid w:val="00055892"/>
    <w:rsid w:val="0006309F"/>
    <w:rsid w:val="00071AAD"/>
    <w:rsid w:val="000767A5"/>
    <w:rsid w:val="00076E5C"/>
    <w:rsid w:val="000828CC"/>
    <w:rsid w:val="0009008D"/>
    <w:rsid w:val="000A1AB0"/>
    <w:rsid w:val="000A5703"/>
    <w:rsid w:val="000A71AD"/>
    <w:rsid w:val="000B6841"/>
    <w:rsid w:val="000B6A8A"/>
    <w:rsid w:val="000C2A94"/>
    <w:rsid w:val="000C31FD"/>
    <w:rsid w:val="000D4A68"/>
    <w:rsid w:val="000D632D"/>
    <w:rsid w:val="000D6B95"/>
    <w:rsid w:val="000F5A4A"/>
    <w:rsid w:val="000F73C7"/>
    <w:rsid w:val="00101BBC"/>
    <w:rsid w:val="00103A96"/>
    <w:rsid w:val="001055AA"/>
    <w:rsid w:val="00111322"/>
    <w:rsid w:val="0011141E"/>
    <w:rsid w:val="00112303"/>
    <w:rsid w:val="00116435"/>
    <w:rsid w:val="001249F6"/>
    <w:rsid w:val="001251FB"/>
    <w:rsid w:val="00130ECC"/>
    <w:rsid w:val="001319EC"/>
    <w:rsid w:val="00135F86"/>
    <w:rsid w:val="001438F9"/>
    <w:rsid w:val="001532A7"/>
    <w:rsid w:val="0015697F"/>
    <w:rsid w:val="001573A9"/>
    <w:rsid w:val="00162A67"/>
    <w:rsid w:val="00166967"/>
    <w:rsid w:val="0018513F"/>
    <w:rsid w:val="001A1AAD"/>
    <w:rsid w:val="001A2968"/>
    <w:rsid w:val="001A47ED"/>
    <w:rsid w:val="001E2470"/>
    <w:rsid w:val="001E2FC4"/>
    <w:rsid w:val="001F0F32"/>
    <w:rsid w:val="001F2946"/>
    <w:rsid w:val="001F4387"/>
    <w:rsid w:val="002008A3"/>
    <w:rsid w:val="00204602"/>
    <w:rsid w:val="0020630E"/>
    <w:rsid w:val="002073BF"/>
    <w:rsid w:val="002117C1"/>
    <w:rsid w:val="002156ED"/>
    <w:rsid w:val="0022204C"/>
    <w:rsid w:val="00225378"/>
    <w:rsid w:val="0023077A"/>
    <w:rsid w:val="002317A3"/>
    <w:rsid w:val="00233491"/>
    <w:rsid w:val="00242415"/>
    <w:rsid w:val="0024381F"/>
    <w:rsid w:val="00247553"/>
    <w:rsid w:val="00247DBA"/>
    <w:rsid w:val="00247F29"/>
    <w:rsid w:val="002529E4"/>
    <w:rsid w:val="002537C5"/>
    <w:rsid w:val="00255EC3"/>
    <w:rsid w:val="0026712C"/>
    <w:rsid w:val="00271C22"/>
    <w:rsid w:val="002832DE"/>
    <w:rsid w:val="002A5D35"/>
    <w:rsid w:val="002B0A1B"/>
    <w:rsid w:val="002B3131"/>
    <w:rsid w:val="002C0D91"/>
    <w:rsid w:val="002C115F"/>
    <w:rsid w:val="002C7CB3"/>
    <w:rsid w:val="002D1FD6"/>
    <w:rsid w:val="002D55B8"/>
    <w:rsid w:val="002D6428"/>
    <w:rsid w:val="002E0FF8"/>
    <w:rsid w:val="002F69D6"/>
    <w:rsid w:val="00306648"/>
    <w:rsid w:val="00307CB4"/>
    <w:rsid w:val="00310E80"/>
    <w:rsid w:val="003144BF"/>
    <w:rsid w:val="00314686"/>
    <w:rsid w:val="00315129"/>
    <w:rsid w:val="00316D63"/>
    <w:rsid w:val="00324311"/>
    <w:rsid w:val="003270E0"/>
    <w:rsid w:val="0033173E"/>
    <w:rsid w:val="00334CD0"/>
    <w:rsid w:val="0034206E"/>
    <w:rsid w:val="00351212"/>
    <w:rsid w:val="00362069"/>
    <w:rsid w:val="0036483A"/>
    <w:rsid w:val="00374944"/>
    <w:rsid w:val="0037655E"/>
    <w:rsid w:val="00384A8A"/>
    <w:rsid w:val="003863A7"/>
    <w:rsid w:val="00386D62"/>
    <w:rsid w:val="00394112"/>
    <w:rsid w:val="00394702"/>
    <w:rsid w:val="003B7C5F"/>
    <w:rsid w:val="003C4D3C"/>
    <w:rsid w:val="003D2227"/>
    <w:rsid w:val="003D636F"/>
    <w:rsid w:val="003E0C90"/>
    <w:rsid w:val="003E38B6"/>
    <w:rsid w:val="003E5131"/>
    <w:rsid w:val="003E5E1D"/>
    <w:rsid w:val="003F710B"/>
    <w:rsid w:val="00400BCC"/>
    <w:rsid w:val="0040684A"/>
    <w:rsid w:val="0043139E"/>
    <w:rsid w:val="00443E92"/>
    <w:rsid w:val="0044695C"/>
    <w:rsid w:val="00451510"/>
    <w:rsid w:val="00451CFD"/>
    <w:rsid w:val="00452A48"/>
    <w:rsid w:val="00452FC7"/>
    <w:rsid w:val="00462961"/>
    <w:rsid w:val="00462CC6"/>
    <w:rsid w:val="00470961"/>
    <w:rsid w:val="00486F35"/>
    <w:rsid w:val="00486F36"/>
    <w:rsid w:val="00494FDE"/>
    <w:rsid w:val="004A7681"/>
    <w:rsid w:val="004A78AA"/>
    <w:rsid w:val="004C1C4C"/>
    <w:rsid w:val="004C39F6"/>
    <w:rsid w:val="004C55CE"/>
    <w:rsid w:val="004D67C4"/>
    <w:rsid w:val="004E0863"/>
    <w:rsid w:val="00507AEE"/>
    <w:rsid w:val="0051356F"/>
    <w:rsid w:val="0053276A"/>
    <w:rsid w:val="00533250"/>
    <w:rsid w:val="00535BF3"/>
    <w:rsid w:val="0054156C"/>
    <w:rsid w:val="00556C46"/>
    <w:rsid w:val="005673CE"/>
    <w:rsid w:val="00574176"/>
    <w:rsid w:val="005753DC"/>
    <w:rsid w:val="005944F2"/>
    <w:rsid w:val="00597964"/>
    <w:rsid w:val="005979C5"/>
    <w:rsid w:val="005A0136"/>
    <w:rsid w:val="005A3503"/>
    <w:rsid w:val="005A4DF1"/>
    <w:rsid w:val="005A772D"/>
    <w:rsid w:val="005B28A2"/>
    <w:rsid w:val="005C32D2"/>
    <w:rsid w:val="005C4E27"/>
    <w:rsid w:val="005C7899"/>
    <w:rsid w:val="005D13A6"/>
    <w:rsid w:val="005D474B"/>
    <w:rsid w:val="005D5793"/>
    <w:rsid w:val="005D631B"/>
    <w:rsid w:val="005D632A"/>
    <w:rsid w:val="005E2A53"/>
    <w:rsid w:val="005F139A"/>
    <w:rsid w:val="00604C33"/>
    <w:rsid w:val="00613B2D"/>
    <w:rsid w:val="006357EC"/>
    <w:rsid w:val="00646C59"/>
    <w:rsid w:val="0064776B"/>
    <w:rsid w:val="00661D82"/>
    <w:rsid w:val="00661E7C"/>
    <w:rsid w:val="00663109"/>
    <w:rsid w:val="006669FA"/>
    <w:rsid w:val="006712CE"/>
    <w:rsid w:val="00671327"/>
    <w:rsid w:val="0067251B"/>
    <w:rsid w:val="00674DEF"/>
    <w:rsid w:val="00680B9B"/>
    <w:rsid w:val="00692399"/>
    <w:rsid w:val="00692FA7"/>
    <w:rsid w:val="006A1F32"/>
    <w:rsid w:val="006A2FB1"/>
    <w:rsid w:val="006B35F7"/>
    <w:rsid w:val="006C0BCB"/>
    <w:rsid w:val="006C13A0"/>
    <w:rsid w:val="006C5A6F"/>
    <w:rsid w:val="006C7448"/>
    <w:rsid w:val="006D21A5"/>
    <w:rsid w:val="006D51F1"/>
    <w:rsid w:val="006D6520"/>
    <w:rsid w:val="006E6810"/>
    <w:rsid w:val="007045E0"/>
    <w:rsid w:val="00712D33"/>
    <w:rsid w:val="0072094F"/>
    <w:rsid w:val="00723261"/>
    <w:rsid w:val="00723DE7"/>
    <w:rsid w:val="00734024"/>
    <w:rsid w:val="007367AF"/>
    <w:rsid w:val="00737296"/>
    <w:rsid w:val="00740968"/>
    <w:rsid w:val="007519C7"/>
    <w:rsid w:val="00752F06"/>
    <w:rsid w:val="00754306"/>
    <w:rsid w:val="00767174"/>
    <w:rsid w:val="00776669"/>
    <w:rsid w:val="007870F9"/>
    <w:rsid w:val="00790602"/>
    <w:rsid w:val="007919B2"/>
    <w:rsid w:val="00797547"/>
    <w:rsid w:val="007A1658"/>
    <w:rsid w:val="007A5740"/>
    <w:rsid w:val="007B2D5C"/>
    <w:rsid w:val="007B3BA6"/>
    <w:rsid w:val="007C2933"/>
    <w:rsid w:val="007C717F"/>
    <w:rsid w:val="007D6A53"/>
    <w:rsid w:val="007E3FEF"/>
    <w:rsid w:val="007E4CA5"/>
    <w:rsid w:val="007F532F"/>
    <w:rsid w:val="007F5D36"/>
    <w:rsid w:val="008109A4"/>
    <w:rsid w:val="00811276"/>
    <w:rsid w:val="00823303"/>
    <w:rsid w:val="008235CC"/>
    <w:rsid w:val="00827379"/>
    <w:rsid w:val="00830DE8"/>
    <w:rsid w:val="00850761"/>
    <w:rsid w:val="0085506B"/>
    <w:rsid w:val="00857DFC"/>
    <w:rsid w:val="00863043"/>
    <w:rsid w:val="00864475"/>
    <w:rsid w:val="0087167F"/>
    <w:rsid w:val="008756D0"/>
    <w:rsid w:val="00881282"/>
    <w:rsid w:val="00881A4B"/>
    <w:rsid w:val="0089152E"/>
    <w:rsid w:val="0089735A"/>
    <w:rsid w:val="008B4EF1"/>
    <w:rsid w:val="008C0449"/>
    <w:rsid w:val="008C4334"/>
    <w:rsid w:val="008F41F7"/>
    <w:rsid w:val="008F725C"/>
    <w:rsid w:val="00903F2E"/>
    <w:rsid w:val="00905218"/>
    <w:rsid w:val="00912D17"/>
    <w:rsid w:val="00922ACA"/>
    <w:rsid w:val="00942BEA"/>
    <w:rsid w:val="009441D4"/>
    <w:rsid w:val="0094586E"/>
    <w:rsid w:val="009467AD"/>
    <w:rsid w:val="00947879"/>
    <w:rsid w:val="00951B4B"/>
    <w:rsid w:val="00951CBE"/>
    <w:rsid w:val="00954EA3"/>
    <w:rsid w:val="00955A20"/>
    <w:rsid w:val="0096137F"/>
    <w:rsid w:val="00974310"/>
    <w:rsid w:val="00980A25"/>
    <w:rsid w:val="00982910"/>
    <w:rsid w:val="00985B90"/>
    <w:rsid w:val="00992A56"/>
    <w:rsid w:val="00993081"/>
    <w:rsid w:val="009B2906"/>
    <w:rsid w:val="009B5951"/>
    <w:rsid w:val="009C2E53"/>
    <w:rsid w:val="009C5B64"/>
    <w:rsid w:val="009D5D7A"/>
    <w:rsid w:val="009E5968"/>
    <w:rsid w:val="009F7CE0"/>
    <w:rsid w:val="00A028B2"/>
    <w:rsid w:val="00A10BDA"/>
    <w:rsid w:val="00A14215"/>
    <w:rsid w:val="00A3145B"/>
    <w:rsid w:val="00A521B6"/>
    <w:rsid w:val="00A52BBC"/>
    <w:rsid w:val="00A55FA4"/>
    <w:rsid w:val="00A7276D"/>
    <w:rsid w:val="00A81813"/>
    <w:rsid w:val="00A84032"/>
    <w:rsid w:val="00A85BC9"/>
    <w:rsid w:val="00A86AE1"/>
    <w:rsid w:val="00A92641"/>
    <w:rsid w:val="00A95528"/>
    <w:rsid w:val="00A96849"/>
    <w:rsid w:val="00AB4743"/>
    <w:rsid w:val="00AC13A5"/>
    <w:rsid w:val="00AD2BF4"/>
    <w:rsid w:val="00AE0C70"/>
    <w:rsid w:val="00AE68A6"/>
    <w:rsid w:val="00AE6C74"/>
    <w:rsid w:val="00B0084C"/>
    <w:rsid w:val="00B03B6F"/>
    <w:rsid w:val="00B03E67"/>
    <w:rsid w:val="00B05892"/>
    <w:rsid w:val="00B06E28"/>
    <w:rsid w:val="00B12BD9"/>
    <w:rsid w:val="00B2321B"/>
    <w:rsid w:val="00B259B7"/>
    <w:rsid w:val="00B33D6B"/>
    <w:rsid w:val="00B4543F"/>
    <w:rsid w:val="00B52DE7"/>
    <w:rsid w:val="00B561ED"/>
    <w:rsid w:val="00B66ABC"/>
    <w:rsid w:val="00B72538"/>
    <w:rsid w:val="00B74759"/>
    <w:rsid w:val="00B80242"/>
    <w:rsid w:val="00B8226B"/>
    <w:rsid w:val="00B85231"/>
    <w:rsid w:val="00B9012E"/>
    <w:rsid w:val="00B90C40"/>
    <w:rsid w:val="00B90FF0"/>
    <w:rsid w:val="00B910B4"/>
    <w:rsid w:val="00B92181"/>
    <w:rsid w:val="00BA145B"/>
    <w:rsid w:val="00BA2F8B"/>
    <w:rsid w:val="00BA39E8"/>
    <w:rsid w:val="00BA4826"/>
    <w:rsid w:val="00BA60E6"/>
    <w:rsid w:val="00BB6B65"/>
    <w:rsid w:val="00BD3BCE"/>
    <w:rsid w:val="00BD7088"/>
    <w:rsid w:val="00BE6CFA"/>
    <w:rsid w:val="00BE75E3"/>
    <w:rsid w:val="00BF69D1"/>
    <w:rsid w:val="00BF6CD6"/>
    <w:rsid w:val="00C00CA7"/>
    <w:rsid w:val="00C045B5"/>
    <w:rsid w:val="00C064CB"/>
    <w:rsid w:val="00C06747"/>
    <w:rsid w:val="00C11971"/>
    <w:rsid w:val="00C20D89"/>
    <w:rsid w:val="00C21555"/>
    <w:rsid w:val="00C22A58"/>
    <w:rsid w:val="00C22AD8"/>
    <w:rsid w:val="00C24253"/>
    <w:rsid w:val="00C25AE3"/>
    <w:rsid w:val="00C300B2"/>
    <w:rsid w:val="00C33EF2"/>
    <w:rsid w:val="00C35020"/>
    <w:rsid w:val="00C437C0"/>
    <w:rsid w:val="00C44682"/>
    <w:rsid w:val="00C61B78"/>
    <w:rsid w:val="00C621A8"/>
    <w:rsid w:val="00C71E38"/>
    <w:rsid w:val="00C74122"/>
    <w:rsid w:val="00C75919"/>
    <w:rsid w:val="00C91C98"/>
    <w:rsid w:val="00C927D6"/>
    <w:rsid w:val="00C9364E"/>
    <w:rsid w:val="00CA39C7"/>
    <w:rsid w:val="00CC1C90"/>
    <w:rsid w:val="00CC23F8"/>
    <w:rsid w:val="00CC2EFD"/>
    <w:rsid w:val="00CC437C"/>
    <w:rsid w:val="00CD1C73"/>
    <w:rsid w:val="00CD2F36"/>
    <w:rsid w:val="00CD4E65"/>
    <w:rsid w:val="00CD4E92"/>
    <w:rsid w:val="00CE0456"/>
    <w:rsid w:val="00CF466C"/>
    <w:rsid w:val="00D01489"/>
    <w:rsid w:val="00D23242"/>
    <w:rsid w:val="00D25A55"/>
    <w:rsid w:val="00D2622F"/>
    <w:rsid w:val="00D31935"/>
    <w:rsid w:val="00D34400"/>
    <w:rsid w:val="00D45FD4"/>
    <w:rsid w:val="00D52E66"/>
    <w:rsid w:val="00D53942"/>
    <w:rsid w:val="00D5688F"/>
    <w:rsid w:val="00D8116B"/>
    <w:rsid w:val="00D948A2"/>
    <w:rsid w:val="00DA3588"/>
    <w:rsid w:val="00DA39D8"/>
    <w:rsid w:val="00DB13BB"/>
    <w:rsid w:val="00DB2159"/>
    <w:rsid w:val="00DB6AA7"/>
    <w:rsid w:val="00DD1FB5"/>
    <w:rsid w:val="00DD30D1"/>
    <w:rsid w:val="00DD6F02"/>
    <w:rsid w:val="00DE30CA"/>
    <w:rsid w:val="00DE38DB"/>
    <w:rsid w:val="00DE3F16"/>
    <w:rsid w:val="00DF0732"/>
    <w:rsid w:val="00DF32C0"/>
    <w:rsid w:val="00DF6FA6"/>
    <w:rsid w:val="00E005FB"/>
    <w:rsid w:val="00E1611E"/>
    <w:rsid w:val="00E20AA3"/>
    <w:rsid w:val="00E23880"/>
    <w:rsid w:val="00E30376"/>
    <w:rsid w:val="00E46EFC"/>
    <w:rsid w:val="00E52305"/>
    <w:rsid w:val="00E540D0"/>
    <w:rsid w:val="00E57048"/>
    <w:rsid w:val="00E6077D"/>
    <w:rsid w:val="00E61325"/>
    <w:rsid w:val="00E61962"/>
    <w:rsid w:val="00E63434"/>
    <w:rsid w:val="00E70667"/>
    <w:rsid w:val="00E77ED0"/>
    <w:rsid w:val="00E82C68"/>
    <w:rsid w:val="00E85CB4"/>
    <w:rsid w:val="00E870E3"/>
    <w:rsid w:val="00EA266A"/>
    <w:rsid w:val="00EA6866"/>
    <w:rsid w:val="00EA6941"/>
    <w:rsid w:val="00EB0A33"/>
    <w:rsid w:val="00EB3682"/>
    <w:rsid w:val="00ED035B"/>
    <w:rsid w:val="00EE22A1"/>
    <w:rsid w:val="00EE416D"/>
    <w:rsid w:val="00F00BA0"/>
    <w:rsid w:val="00F104F2"/>
    <w:rsid w:val="00F26AAA"/>
    <w:rsid w:val="00F32311"/>
    <w:rsid w:val="00F331B3"/>
    <w:rsid w:val="00F40C53"/>
    <w:rsid w:val="00F43D2D"/>
    <w:rsid w:val="00F444A3"/>
    <w:rsid w:val="00F6114F"/>
    <w:rsid w:val="00F668FD"/>
    <w:rsid w:val="00F718BF"/>
    <w:rsid w:val="00F72CA9"/>
    <w:rsid w:val="00F7351D"/>
    <w:rsid w:val="00F758F5"/>
    <w:rsid w:val="00F85E7C"/>
    <w:rsid w:val="00F9552E"/>
    <w:rsid w:val="00FA2397"/>
    <w:rsid w:val="00FA6315"/>
    <w:rsid w:val="00FA6E79"/>
    <w:rsid w:val="00FC4071"/>
    <w:rsid w:val="00FD2226"/>
    <w:rsid w:val="00FD6242"/>
    <w:rsid w:val="00FF5B02"/>
    <w:rsid w:val="00FF755C"/>
    <w:rsid w:val="01056DEF"/>
    <w:rsid w:val="01066A48"/>
    <w:rsid w:val="010827C0"/>
    <w:rsid w:val="010D4EEF"/>
    <w:rsid w:val="011078C7"/>
    <w:rsid w:val="011253ED"/>
    <w:rsid w:val="011275F2"/>
    <w:rsid w:val="01145609"/>
    <w:rsid w:val="01192C1F"/>
    <w:rsid w:val="01210A8F"/>
    <w:rsid w:val="01334F20"/>
    <w:rsid w:val="013B2B96"/>
    <w:rsid w:val="013E4434"/>
    <w:rsid w:val="014001AC"/>
    <w:rsid w:val="015472FA"/>
    <w:rsid w:val="0159301C"/>
    <w:rsid w:val="015F63A0"/>
    <w:rsid w:val="01602B40"/>
    <w:rsid w:val="01603F95"/>
    <w:rsid w:val="01626374"/>
    <w:rsid w:val="0162759A"/>
    <w:rsid w:val="016D7617"/>
    <w:rsid w:val="017521F9"/>
    <w:rsid w:val="017B57FB"/>
    <w:rsid w:val="017D4F5C"/>
    <w:rsid w:val="01A06E9D"/>
    <w:rsid w:val="01A60B6B"/>
    <w:rsid w:val="01A87AFF"/>
    <w:rsid w:val="01AA1AC9"/>
    <w:rsid w:val="01AA7D1B"/>
    <w:rsid w:val="01B110AA"/>
    <w:rsid w:val="01B315B0"/>
    <w:rsid w:val="01BA2E4A"/>
    <w:rsid w:val="01BA56C5"/>
    <w:rsid w:val="01C22832"/>
    <w:rsid w:val="01CE3A0A"/>
    <w:rsid w:val="01D35FC9"/>
    <w:rsid w:val="01E925F2"/>
    <w:rsid w:val="01EE19B6"/>
    <w:rsid w:val="01F42D45"/>
    <w:rsid w:val="01F62F61"/>
    <w:rsid w:val="020016E9"/>
    <w:rsid w:val="02025461"/>
    <w:rsid w:val="02082832"/>
    <w:rsid w:val="0241242E"/>
    <w:rsid w:val="02477318"/>
    <w:rsid w:val="024C492F"/>
    <w:rsid w:val="02510197"/>
    <w:rsid w:val="02540E8E"/>
    <w:rsid w:val="025B37A5"/>
    <w:rsid w:val="0269176A"/>
    <w:rsid w:val="026954E1"/>
    <w:rsid w:val="02743F39"/>
    <w:rsid w:val="02783976"/>
    <w:rsid w:val="0281282A"/>
    <w:rsid w:val="028C1A42"/>
    <w:rsid w:val="029307AF"/>
    <w:rsid w:val="02BD761B"/>
    <w:rsid w:val="02C10E79"/>
    <w:rsid w:val="02C21CEA"/>
    <w:rsid w:val="02C44F01"/>
    <w:rsid w:val="02D45050"/>
    <w:rsid w:val="02D57EDC"/>
    <w:rsid w:val="02E66B31"/>
    <w:rsid w:val="02EF1C8D"/>
    <w:rsid w:val="02F06CBE"/>
    <w:rsid w:val="02F16339"/>
    <w:rsid w:val="02F23728"/>
    <w:rsid w:val="02FE5FA0"/>
    <w:rsid w:val="030709C3"/>
    <w:rsid w:val="030C767F"/>
    <w:rsid w:val="030F6088"/>
    <w:rsid w:val="031E276F"/>
    <w:rsid w:val="032D1E8F"/>
    <w:rsid w:val="0332754E"/>
    <w:rsid w:val="03385D7A"/>
    <w:rsid w:val="0355497F"/>
    <w:rsid w:val="03575C81"/>
    <w:rsid w:val="03577C63"/>
    <w:rsid w:val="03641F80"/>
    <w:rsid w:val="036D2DAF"/>
    <w:rsid w:val="037979A5"/>
    <w:rsid w:val="038237DB"/>
    <w:rsid w:val="03830824"/>
    <w:rsid w:val="03887BE8"/>
    <w:rsid w:val="038C2AFB"/>
    <w:rsid w:val="03907AD6"/>
    <w:rsid w:val="03991DF6"/>
    <w:rsid w:val="039D67B0"/>
    <w:rsid w:val="03B22DD8"/>
    <w:rsid w:val="03B629A7"/>
    <w:rsid w:val="03B95FF4"/>
    <w:rsid w:val="03C230FA"/>
    <w:rsid w:val="03CA6A67"/>
    <w:rsid w:val="03D746CC"/>
    <w:rsid w:val="03D90444"/>
    <w:rsid w:val="03E45F39"/>
    <w:rsid w:val="03E72B61"/>
    <w:rsid w:val="03F02558"/>
    <w:rsid w:val="03F155A1"/>
    <w:rsid w:val="03FB485E"/>
    <w:rsid w:val="04130785"/>
    <w:rsid w:val="04140765"/>
    <w:rsid w:val="04155920"/>
    <w:rsid w:val="041D7E34"/>
    <w:rsid w:val="0426744D"/>
    <w:rsid w:val="04385145"/>
    <w:rsid w:val="043B4F51"/>
    <w:rsid w:val="04446205"/>
    <w:rsid w:val="0455550B"/>
    <w:rsid w:val="045A156A"/>
    <w:rsid w:val="047F0FEB"/>
    <w:rsid w:val="04826D2E"/>
    <w:rsid w:val="04992D85"/>
    <w:rsid w:val="049F51EA"/>
    <w:rsid w:val="04A00CCB"/>
    <w:rsid w:val="04A95451"/>
    <w:rsid w:val="04C904B8"/>
    <w:rsid w:val="04CF22BB"/>
    <w:rsid w:val="04D07A99"/>
    <w:rsid w:val="04D255BF"/>
    <w:rsid w:val="04D330E5"/>
    <w:rsid w:val="04F21BC4"/>
    <w:rsid w:val="052032C7"/>
    <w:rsid w:val="052D4734"/>
    <w:rsid w:val="05340028"/>
    <w:rsid w:val="054066E6"/>
    <w:rsid w:val="056401E1"/>
    <w:rsid w:val="056703FD"/>
    <w:rsid w:val="056B01D9"/>
    <w:rsid w:val="057310D2"/>
    <w:rsid w:val="057A7B8E"/>
    <w:rsid w:val="058F1702"/>
    <w:rsid w:val="059960DD"/>
    <w:rsid w:val="05996A48"/>
    <w:rsid w:val="059E2F95"/>
    <w:rsid w:val="05A147E8"/>
    <w:rsid w:val="05A21435"/>
    <w:rsid w:val="05A30D0A"/>
    <w:rsid w:val="05AE1E2D"/>
    <w:rsid w:val="05B2719F"/>
    <w:rsid w:val="05C06B5B"/>
    <w:rsid w:val="05C34853"/>
    <w:rsid w:val="05D9472B"/>
    <w:rsid w:val="05F57268"/>
    <w:rsid w:val="05F6352F"/>
    <w:rsid w:val="05FE1ED5"/>
    <w:rsid w:val="06020B9C"/>
    <w:rsid w:val="0606756F"/>
    <w:rsid w:val="06146305"/>
    <w:rsid w:val="06147E59"/>
    <w:rsid w:val="06182D09"/>
    <w:rsid w:val="061924BA"/>
    <w:rsid w:val="061D0ABC"/>
    <w:rsid w:val="061D6D0E"/>
    <w:rsid w:val="06226F2E"/>
    <w:rsid w:val="06277B8D"/>
    <w:rsid w:val="063078D0"/>
    <w:rsid w:val="06334AFF"/>
    <w:rsid w:val="0639654F"/>
    <w:rsid w:val="063B7194"/>
    <w:rsid w:val="06400C4E"/>
    <w:rsid w:val="06413AE8"/>
    <w:rsid w:val="06420522"/>
    <w:rsid w:val="064244D1"/>
    <w:rsid w:val="06470CA6"/>
    <w:rsid w:val="064929E8"/>
    <w:rsid w:val="0657782D"/>
    <w:rsid w:val="065E2089"/>
    <w:rsid w:val="065F10D4"/>
    <w:rsid w:val="06604E4C"/>
    <w:rsid w:val="06622973"/>
    <w:rsid w:val="06654211"/>
    <w:rsid w:val="06677F89"/>
    <w:rsid w:val="066E57BB"/>
    <w:rsid w:val="06734536"/>
    <w:rsid w:val="067D155B"/>
    <w:rsid w:val="067D6EE4"/>
    <w:rsid w:val="067F4A0F"/>
    <w:rsid w:val="069A41E3"/>
    <w:rsid w:val="06AB60C8"/>
    <w:rsid w:val="06AE007E"/>
    <w:rsid w:val="06AF1611"/>
    <w:rsid w:val="06B331CE"/>
    <w:rsid w:val="06B86A37"/>
    <w:rsid w:val="06C4362D"/>
    <w:rsid w:val="06C74ECC"/>
    <w:rsid w:val="06DB44D3"/>
    <w:rsid w:val="06E415DA"/>
    <w:rsid w:val="06E66748"/>
    <w:rsid w:val="06E67100"/>
    <w:rsid w:val="06E72E78"/>
    <w:rsid w:val="06E94E42"/>
    <w:rsid w:val="06ED4932"/>
    <w:rsid w:val="06F45280"/>
    <w:rsid w:val="06F55595"/>
    <w:rsid w:val="071A324D"/>
    <w:rsid w:val="071B348F"/>
    <w:rsid w:val="071E7E0E"/>
    <w:rsid w:val="071F6AB6"/>
    <w:rsid w:val="072248DE"/>
    <w:rsid w:val="072774B1"/>
    <w:rsid w:val="07320597"/>
    <w:rsid w:val="07351CA5"/>
    <w:rsid w:val="07390EB3"/>
    <w:rsid w:val="07494150"/>
    <w:rsid w:val="07502CB0"/>
    <w:rsid w:val="075524D7"/>
    <w:rsid w:val="076051F1"/>
    <w:rsid w:val="0767792A"/>
    <w:rsid w:val="0769658E"/>
    <w:rsid w:val="076D5A73"/>
    <w:rsid w:val="07750484"/>
    <w:rsid w:val="07850411"/>
    <w:rsid w:val="078E0C06"/>
    <w:rsid w:val="07946D8F"/>
    <w:rsid w:val="07AA45D1"/>
    <w:rsid w:val="07B01ADB"/>
    <w:rsid w:val="07B40FAC"/>
    <w:rsid w:val="07B53F97"/>
    <w:rsid w:val="07BA6793"/>
    <w:rsid w:val="07BB27B3"/>
    <w:rsid w:val="07C37441"/>
    <w:rsid w:val="07D6614B"/>
    <w:rsid w:val="07E11CFA"/>
    <w:rsid w:val="07EA708E"/>
    <w:rsid w:val="07ED2710"/>
    <w:rsid w:val="07ED44BE"/>
    <w:rsid w:val="07F13FAE"/>
    <w:rsid w:val="07F4584C"/>
    <w:rsid w:val="080812F8"/>
    <w:rsid w:val="08091013"/>
    <w:rsid w:val="081128A2"/>
    <w:rsid w:val="08145703"/>
    <w:rsid w:val="08145EEF"/>
    <w:rsid w:val="08175A0C"/>
    <w:rsid w:val="082223BA"/>
    <w:rsid w:val="082425D6"/>
    <w:rsid w:val="08325EA2"/>
    <w:rsid w:val="083B791F"/>
    <w:rsid w:val="08430582"/>
    <w:rsid w:val="08470072"/>
    <w:rsid w:val="08487063"/>
    <w:rsid w:val="084951AA"/>
    <w:rsid w:val="08527B2B"/>
    <w:rsid w:val="085D7896"/>
    <w:rsid w:val="0864326D"/>
    <w:rsid w:val="08700595"/>
    <w:rsid w:val="087B7D1C"/>
    <w:rsid w:val="087E15BA"/>
    <w:rsid w:val="08844E22"/>
    <w:rsid w:val="08852F4D"/>
    <w:rsid w:val="08871B22"/>
    <w:rsid w:val="088E0328"/>
    <w:rsid w:val="089112ED"/>
    <w:rsid w:val="089933B6"/>
    <w:rsid w:val="089B6610"/>
    <w:rsid w:val="08A7529B"/>
    <w:rsid w:val="08A90D2D"/>
    <w:rsid w:val="08A94889"/>
    <w:rsid w:val="08B1373D"/>
    <w:rsid w:val="08D0304E"/>
    <w:rsid w:val="08DD09D6"/>
    <w:rsid w:val="08E1680C"/>
    <w:rsid w:val="08E27D9B"/>
    <w:rsid w:val="08E5419B"/>
    <w:rsid w:val="08E80D50"/>
    <w:rsid w:val="08F24606"/>
    <w:rsid w:val="08F85D8F"/>
    <w:rsid w:val="08FA50E4"/>
    <w:rsid w:val="09077801"/>
    <w:rsid w:val="090C6419"/>
    <w:rsid w:val="0910683E"/>
    <w:rsid w:val="09137F54"/>
    <w:rsid w:val="091E16C9"/>
    <w:rsid w:val="091F0FEF"/>
    <w:rsid w:val="092D370C"/>
    <w:rsid w:val="093305F6"/>
    <w:rsid w:val="09341428"/>
    <w:rsid w:val="093C74AB"/>
    <w:rsid w:val="094A2D56"/>
    <w:rsid w:val="09517610"/>
    <w:rsid w:val="0959365C"/>
    <w:rsid w:val="095C5D9F"/>
    <w:rsid w:val="096B7D90"/>
    <w:rsid w:val="09803318"/>
    <w:rsid w:val="098330CE"/>
    <w:rsid w:val="09851A0C"/>
    <w:rsid w:val="098D09B3"/>
    <w:rsid w:val="099A0675"/>
    <w:rsid w:val="099F2A4F"/>
    <w:rsid w:val="09A301DE"/>
    <w:rsid w:val="09A3752A"/>
    <w:rsid w:val="09AD6D71"/>
    <w:rsid w:val="09B259BF"/>
    <w:rsid w:val="09B41737"/>
    <w:rsid w:val="09C81582"/>
    <w:rsid w:val="09CA0F5B"/>
    <w:rsid w:val="09DE0562"/>
    <w:rsid w:val="09E162A4"/>
    <w:rsid w:val="09E20F99"/>
    <w:rsid w:val="09E57B43"/>
    <w:rsid w:val="09E87633"/>
    <w:rsid w:val="09F138C9"/>
    <w:rsid w:val="09F14739"/>
    <w:rsid w:val="0A0A4100"/>
    <w:rsid w:val="0A0F4BBF"/>
    <w:rsid w:val="0A3B7763"/>
    <w:rsid w:val="0A4441F9"/>
    <w:rsid w:val="0A4C1970"/>
    <w:rsid w:val="0A543C42"/>
    <w:rsid w:val="0A560A40"/>
    <w:rsid w:val="0A5941FB"/>
    <w:rsid w:val="0A6071C9"/>
    <w:rsid w:val="0A6C2012"/>
    <w:rsid w:val="0A751E69"/>
    <w:rsid w:val="0A8643B4"/>
    <w:rsid w:val="0AA51080"/>
    <w:rsid w:val="0AA90B70"/>
    <w:rsid w:val="0AAE43D8"/>
    <w:rsid w:val="0ACB4071"/>
    <w:rsid w:val="0ACE495F"/>
    <w:rsid w:val="0ACF403A"/>
    <w:rsid w:val="0AD61B81"/>
    <w:rsid w:val="0AD96F7B"/>
    <w:rsid w:val="0ADA51CD"/>
    <w:rsid w:val="0AE342C6"/>
    <w:rsid w:val="0AE814E3"/>
    <w:rsid w:val="0AE95219"/>
    <w:rsid w:val="0AFB3396"/>
    <w:rsid w:val="0B016BFE"/>
    <w:rsid w:val="0B043FF8"/>
    <w:rsid w:val="0B057435"/>
    <w:rsid w:val="0B145E1A"/>
    <w:rsid w:val="0B156206"/>
    <w:rsid w:val="0B2823DD"/>
    <w:rsid w:val="0B3C43D4"/>
    <w:rsid w:val="0B4C4E47"/>
    <w:rsid w:val="0B4D3BF1"/>
    <w:rsid w:val="0B4E7CB1"/>
    <w:rsid w:val="0B6C7DF0"/>
    <w:rsid w:val="0B6E1DBA"/>
    <w:rsid w:val="0B7078E0"/>
    <w:rsid w:val="0B7373D0"/>
    <w:rsid w:val="0B8624BE"/>
    <w:rsid w:val="0B8769D7"/>
    <w:rsid w:val="0B8F38FC"/>
    <w:rsid w:val="0B930524"/>
    <w:rsid w:val="0B996E37"/>
    <w:rsid w:val="0B9C2483"/>
    <w:rsid w:val="0B9F01C5"/>
    <w:rsid w:val="0BA23FBC"/>
    <w:rsid w:val="0BA63302"/>
    <w:rsid w:val="0BB25784"/>
    <w:rsid w:val="0BB974D9"/>
    <w:rsid w:val="0BBB7DB7"/>
    <w:rsid w:val="0BBF35AB"/>
    <w:rsid w:val="0BC814CA"/>
    <w:rsid w:val="0BD42F10"/>
    <w:rsid w:val="0BE1433A"/>
    <w:rsid w:val="0BE300B2"/>
    <w:rsid w:val="0BE37F6F"/>
    <w:rsid w:val="0BE43E2A"/>
    <w:rsid w:val="0BE53E9F"/>
    <w:rsid w:val="0BF70001"/>
    <w:rsid w:val="0BF73B5D"/>
    <w:rsid w:val="0BF95B27"/>
    <w:rsid w:val="0C1464BD"/>
    <w:rsid w:val="0C152235"/>
    <w:rsid w:val="0C274D64"/>
    <w:rsid w:val="0C3B5A06"/>
    <w:rsid w:val="0C3D1EB8"/>
    <w:rsid w:val="0C3E79DE"/>
    <w:rsid w:val="0C4B2B1E"/>
    <w:rsid w:val="0C5E598A"/>
    <w:rsid w:val="0C61150F"/>
    <w:rsid w:val="0C6F1506"/>
    <w:rsid w:val="0C711B61"/>
    <w:rsid w:val="0C7B29E0"/>
    <w:rsid w:val="0C8353F1"/>
    <w:rsid w:val="0C9231F7"/>
    <w:rsid w:val="0C9521C3"/>
    <w:rsid w:val="0C96703A"/>
    <w:rsid w:val="0CA35A93"/>
    <w:rsid w:val="0CA559F4"/>
    <w:rsid w:val="0CAA5073"/>
    <w:rsid w:val="0CAF04B7"/>
    <w:rsid w:val="0CB832EC"/>
    <w:rsid w:val="0CBB4B8B"/>
    <w:rsid w:val="0CC102F8"/>
    <w:rsid w:val="0CCA0AE1"/>
    <w:rsid w:val="0CDB347F"/>
    <w:rsid w:val="0CE20A2F"/>
    <w:rsid w:val="0CE42333"/>
    <w:rsid w:val="0CEE31B2"/>
    <w:rsid w:val="0CFE2705"/>
    <w:rsid w:val="0D001920"/>
    <w:rsid w:val="0D054058"/>
    <w:rsid w:val="0D0B5B12"/>
    <w:rsid w:val="0D0E01E4"/>
    <w:rsid w:val="0D0E73B0"/>
    <w:rsid w:val="0D103128"/>
    <w:rsid w:val="0D1411E7"/>
    <w:rsid w:val="0D15598B"/>
    <w:rsid w:val="0D200E92"/>
    <w:rsid w:val="0D2564A8"/>
    <w:rsid w:val="0D2A7BBC"/>
    <w:rsid w:val="0D3240C1"/>
    <w:rsid w:val="0D330BC5"/>
    <w:rsid w:val="0D335C46"/>
    <w:rsid w:val="0D413913"/>
    <w:rsid w:val="0D531267"/>
    <w:rsid w:val="0D5C636E"/>
    <w:rsid w:val="0D6B4C79"/>
    <w:rsid w:val="0D7F29EA"/>
    <w:rsid w:val="0D892EDB"/>
    <w:rsid w:val="0D8D4779"/>
    <w:rsid w:val="0D8E7899"/>
    <w:rsid w:val="0D961265"/>
    <w:rsid w:val="0D975D53"/>
    <w:rsid w:val="0D9D7253"/>
    <w:rsid w:val="0DA27AF9"/>
    <w:rsid w:val="0DA312B4"/>
    <w:rsid w:val="0DAC0414"/>
    <w:rsid w:val="0DBE0DD6"/>
    <w:rsid w:val="0DBF4B4E"/>
    <w:rsid w:val="0DCC0459"/>
    <w:rsid w:val="0DD018B7"/>
    <w:rsid w:val="0DD01FDD"/>
    <w:rsid w:val="0DD14D01"/>
    <w:rsid w:val="0DDD17FF"/>
    <w:rsid w:val="0DDF6F9F"/>
    <w:rsid w:val="0DEF04CB"/>
    <w:rsid w:val="0DF07B33"/>
    <w:rsid w:val="0DF540CC"/>
    <w:rsid w:val="0DFE7425"/>
    <w:rsid w:val="0E083E00"/>
    <w:rsid w:val="0E090CDD"/>
    <w:rsid w:val="0E1A3B33"/>
    <w:rsid w:val="0E210635"/>
    <w:rsid w:val="0E2E0A23"/>
    <w:rsid w:val="0E2E1F87"/>
    <w:rsid w:val="0E323572"/>
    <w:rsid w:val="0E441DE7"/>
    <w:rsid w:val="0E457ECF"/>
    <w:rsid w:val="0E511C4A"/>
    <w:rsid w:val="0E560B27"/>
    <w:rsid w:val="0E5B4B7A"/>
    <w:rsid w:val="0E6169E1"/>
    <w:rsid w:val="0E6B7348"/>
    <w:rsid w:val="0E6D45AA"/>
    <w:rsid w:val="0E767729"/>
    <w:rsid w:val="0E855A53"/>
    <w:rsid w:val="0E87741A"/>
    <w:rsid w:val="0E883192"/>
    <w:rsid w:val="0EA0672E"/>
    <w:rsid w:val="0EA845B5"/>
    <w:rsid w:val="0EA87391"/>
    <w:rsid w:val="0EAA4EB7"/>
    <w:rsid w:val="0EAF4BC3"/>
    <w:rsid w:val="0EC35F79"/>
    <w:rsid w:val="0EC57323"/>
    <w:rsid w:val="0ECC7523"/>
    <w:rsid w:val="0ED63EFE"/>
    <w:rsid w:val="0EDC703A"/>
    <w:rsid w:val="0EE067E1"/>
    <w:rsid w:val="0EF1145C"/>
    <w:rsid w:val="0F205179"/>
    <w:rsid w:val="0F346ACB"/>
    <w:rsid w:val="0F417C3E"/>
    <w:rsid w:val="0F4E618A"/>
    <w:rsid w:val="0F590D86"/>
    <w:rsid w:val="0F5B2655"/>
    <w:rsid w:val="0F5D017B"/>
    <w:rsid w:val="0F6634D4"/>
    <w:rsid w:val="0F7D04F1"/>
    <w:rsid w:val="0F7E4EB1"/>
    <w:rsid w:val="0F895414"/>
    <w:rsid w:val="0F8E573E"/>
    <w:rsid w:val="0F8E5BF7"/>
    <w:rsid w:val="0F917E25"/>
    <w:rsid w:val="0F9C6EF5"/>
    <w:rsid w:val="0FA51A63"/>
    <w:rsid w:val="0FAC2EB1"/>
    <w:rsid w:val="0FC14BAE"/>
    <w:rsid w:val="0FD541B5"/>
    <w:rsid w:val="0FE32D76"/>
    <w:rsid w:val="0FE4089C"/>
    <w:rsid w:val="0FE94057"/>
    <w:rsid w:val="0FE95EB3"/>
    <w:rsid w:val="0FF40EB8"/>
    <w:rsid w:val="0FF52AA9"/>
    <w:rsid w:val="0FF62150"/>
    <w:rsid w:val="10004C2A"/>
    <w:rsid w:val="10025DB1"/>
    <w:rsid w:val="10036D83"/>
    <w:rsid w:val="1021564D"/>
    <w:rsid w:val="102A0E3E"/>
    <w:rsid w:val="102D4779"/>
    <w:rsid w:val="102E38C6"/>
    <w:rsid w:val="1034712E"/>
    <w:rsid w:val="103D4E33"/>
    <w:rsid w:val="10482C0D"/>
    <w:rsid w:val="104D6442"/>
    <w:rsid w:val="10521CAA"/>
    <w:rsid w:val="10523A58"/>
    <w:rsid w:val="1057106E"/>
    <w:rsid w:val="10594DE6"/>
    <w:rsid w:val="10635678"/>
    <w:rsid w:val="106818F6"/>
    <w:rsid w:val="108005C5"/>
    <w:rsid w:val="1081433D"/>
    <w:rsid w:val="10A213D4"/>
    <w:rsid w:val="10A5721A"/>
    <w:rsid w:val="10A867D5"/>
    <w:rsid w:val="10B2748F"/>
    <w:rsid w:val="10C20BDE"/>
    <w:rsid w:val="10C304B2"/>
    <w:rsid w:val="10CC3F51"/>
    <w:rsid w:val="10CF50A9"/>
    <w:rsid w:val="10D97CD5"/>
    <w:rsid w:val="10DD77C5"/>
    <w:rsid w:val="10DF5D5C"/>
    <w:rsid w:val="10E03569"/>
    <w:rsid w:val="10E3728B"/>
    <w:rsid w:val="10EC0CD8"/>
    <w:rsid w:val="10F714A8"/>
    <w:rsid w:val="110411F6"/>
    <w:rsid w:val="11286567"/>
    <w:rsid w:val="112F3D99"/>
    <w:rsid w:val="11317B11"/>
    <w:rsid w:val="11345B05"/>
    <w:rsid w:val="114129AD"/>
    <w:rsid w:val="11447845"/>
    <w:rsid w:val="11627D87"/>
    <w:rsid w:val="11812847"/>
    <w:rsid w:val="11894B37"/>
    <w:rsid w:val="1189710D"/>
    <w:rsid w:val="118F3377"/>
    <w:rsid w:val="1193257A"/>
    <w:rsid w:val="11A30BFE"/>
    <w:rsid w:val="11A70B13"/>
    <w:rsid w:val="11AA3420"/>
    <w:rsid w:val="11AE1162"/>
    <w:rsid w:val="11C646FD"/>
    <w:rsid w:val="11C97D4A"/>
    <w:rsid w:val="11CC7D1E"/>
    <w:rsid w:val="11CE72AB"/>
    <w:rsid w:val="11D02E86"/>
    <w:rsid w:val="11DB182B"/>
    <w:rsid w:val="11DF131B"/>
    <w:rsid w:val="11EE2FAE"/>
    <w:rsid w:val="11F33019"/>
    <w:rsid w:val="11FA7F03"/>
    <w:rsid w:val="120668A8"/>
    <w:rsid w:val="1209283C"/>
    <w:rsid w:val="12130774"/>
    <w:rsid w:val="1218482D"/>
    <w:rsid w:val="12262DA3"/>
    <w:rsid w:val="123553DF"/>
    <w:rsid w:val="12485CF3"/>
    <w:rsid w:val="124C071D"/>
    <w:rsid w:val="12537E78"/>
    <w:rsid w:val="125C5A8A"/>
    <w:rsid w:val="126006AE"/>
    <w:rsid w:val="12676DD8"/>
    <w:rsid w:val="126B7053"/>
    <w:rsid w:val="126D3329"/>
    <w:rsid w:val="127D6381"/>
    <w:rsid w:val="12824D88"/>
    <w:rsid w:val="12883761"/>
    <w:rsid w:val="12891287"/>
    <w:rsid w:val="128D6FC9"/>
    <w:rsid w:val="1299771C"/>
    <w:rsid w:val="129E4D32"/>
    <w:rsid w:val="12A61E39"/>
    <w:rsid w:val="12AA7B7B"/>
    <w:rsid w:val="12AF0CEE"/>
    <w:rsid w:val="12BE4679"/>
    <w:rsid w:val="12CD386A"/>
    <w:rsid w:val="12CF3B1C"/>
    <w:rsid w:val="12D1393E"/>
    <w:rsid w:val="12DA1AE3"/>
    <w:rsid w:val="12DB776F"/>
    <w:rsid w:val="12E110C3"/>
    <w:rsid w:val="12E36BE9"/>
    <w:rsid w:val="12F31522"/>
    <w:rsid w:val="12F62809"/>
    <w:rsid w:val="130848A2"/>
    <w:rsid w:val="130D010A"/>
    <w:rsid w:val="13157F9E"/>
    <w:rsid w:val="131A37D1"/>
    <w:rsid w:val="131E1440"/>
    <w:rsid w:val="13217712"/>
    <w:rsid w:val="13224518"/>
    <w:rsid w:val="132536A6"/>
    <w:rsid w:val="132A2C78"/>
    <w:rsid w:val="132D4E16"/>
    <w:rsid w:val="132F1E2E"/>
    <w:rsid w:val="13490F82"/>
    <w:rsid w:val="134A4EBA"/>
    <w:rsid w:val="134C3792"/>
    <w:rsid w:val="134D0507"/>
    <w:rsid w:val="13516249"/>
    <w:rsid w:val="1359613F"/>
    <w:rsid w:val="13637D2A"/>
    <w:rsid w:val="13655850"/>
    <w:rsid w:val="137B04B9"/>
    <w:rsid w:val="13825D99"/>
    <w:rsid w:val="138403CC"/>
    <w:rsid w:val="13864079"/>
    <w:rsid w:val="138D499F"/>
    <w:rsid w:val="13906D71"/>
    <w:rsid w:val="13983E78"/>
    <w:rsid w:val="13AA7707"/>
    <w:rsid w:val="13CC66FB"/>
    <w:rsid w:val="13DC045F"/>
    <w:rsid w:val="13E13115"/>
    <w:rsid w:val="13FD5D2B"/>
    <w:rsid w:val="14071F23"/>
    <w:rsid w:val="140E413A"/>
    <w:rsid w:val="14212D74"/>
    <w:rsid w:val="1437543F"/>
    <w:rsid w:val="143F42F3"/>
    <w:rsid w:val="145853B5"/>
    <w:rsid w:val="1468384A"/>
    <w:rsid w:val="146B158C"/>
    <w:rsid w:val="147A17CF"/>
    <w:rsid w:val="14834EDF"/>
    <w:rsid w:val="148C3A56"/>
    <w:rsid w:val="149A59CD"/>
    <w:rsid w:val="14A10B0A"/>
    <w:rsid w:val="14A800EA"/>
    <w:rsid w:val="14AA20B4"/>
    <w:rsid w:val="14B20F69"/>
    <w:rsid w:val="14B3645B"/>
    <w:rsid w:val="14B7032D"/>
    <w:rsid w:val="14B85EEC"/>
    <w:rsid w:val="14BB0A48"/>
    <w:rsid w:val="14CB44BC"/>
    <w:rsid w:val="14D507B4"/>
    <w:rsid w:val="14D74DED"/>
    <w:rsid w:val="14D84201"/>
    <w:rsid w:val="14F450DE"/>
    <w:rsid w:val="14F84610"/>
    <w:rsid w:val="14FB30D2"/>
    <w:rsid w:val="14FE5F5C"/>
    <w:rsid w:val="15007F26"/>
    <w:rsid w:val="15023C9F"/>
    <w:rsid w:val="15035321"/>
    <w:rsid w:val="1506019C"/>
    <w:rsid w:val="151B4D60"/>
    <w:rsid w:val="1525798D"/>
    <w:rsid w:val="15280DCC"/>
    <w:rsid w:val="15282FD9"/>
    <w:rsid w:val="15287DA1"/>
    <w:rsid w:val="152F3C74"/>
    <w:rsid w:val="152F4368"/>
    <w:rsid w:val="153B4E6D"/>
    <w:rsid w:val="154222ED"/>
    <w:rsid w:val="154A11A2"/>
    <w:rsid w:val="15602773"/>
    <w:rsid w:val="156A53A0"/>
    <w:rsid w:val="156C736A"/>
    <w:rsid w:val="157B10C4"/>
    <w:rsid w:val="157B75AD"/>
    <w:rsid w:val="1585667E"/>
    <w:rsid w:val="15862966"/>
    <w:rsid w:val="15915022"/>
    <w:rsid w:val="159505FC"/>
    <w:rsid w:val="15971F54"/>
    <w:rsid w:val="159B37AB"/>
    <w:rsid w:val="15BB7BCF"/>
    <w:rsid w:val="15D942D4"/>
    <w:rsid w:val="15DC4DAE"/>
    <w:rsid w:val="15EC2259"/>
    <w:rsid w:val="16064CBF"/>
    <w:rsid w:val="160F7CF5"/>
    <w:rsid w:val="16227A29"/>
    <w:rsid w:val="16247C45"/>
    <w:rsid w:val="16251636"/>
    <w:rsid w:val="162633A3"/>
    <w:rsid w:val="16315EBE"/>
    <w:rsid w:val="1637512C"/>
    <w:rsid w:val="1653052A"/>
    <w:rsid w:val="16557F55"/>
    <w:rsid w:val="165A5414"/>
    <w:rsid w:val="167C4F9F"/>
    <w:rsid w:val="169159A7"/>
    <w:rsid w:val="16921052"/>
    <w:rsid w:val="16947202"/>
    <w:rsid w:val="16A32780"/>
    <w:rsid w:val="16B20DAC"/>
    <w:rsid w:val="16B26FFE"/>
    <w:rsid w:val="16B34B25"/>
    <w:rsid w:val="16B8213B"/>
    <w:rsid w:val="16BC1C2B"/>
    <w:rsid w:val="16C3745D"/>
    <w:rsid w:val="16F92E7F"/>
    <w:rsid w:val="170A68E7"/>
    <w:rsid w:val="170D0E31"/>
    <w:rsid w:val="171F21BA"/>
    <w:rsid w:val="172637C6"/>
    <w:rsid w:val="172F4AF3"/>
    <w:rsid w:val="172F52B7"/>
    <w:rsid w:val="17362BF6"/>
    <w:rsid w:val="17376E78"/>
    <w:rsid w:val="174005BC"/>
    <w:rsid w:val="17404C3A"/>
    <w:rsid w:val="174F7DD4"/>
    <w:rsid w:val="17514A69"/>
    <w:rsid w:val="17660ECE"/>
    <w:rsid w:val="176F6C9D"/>
    <w:rsid w:val="1776002C"/>
    <w:rsid w:val="177EF66B"/>
    <w:rsid w:val="177F4239"/>
    <w:rsid w:val="178169D1"/>
    <w:rsid w:val="17826B9F"/>
    <w:rsid w:val="17832749"/>
    <w:rsid w:val="17993D6B"/>
    <w:rsid w:val="179B3F36"/>
    <w:rsid w:val="179F30FE"/>
    <w:rsid w:val="17A0154D"/>
    <w:rsid w:val="17BD20FF"/>
    <w:rsid w:val="17C4348D"/>
    <w:rsid w:val="17C97A33"/>
    <w:rsid w:val="17CA0378"/>
    <w:rsid w:val="17CC40F0"/>
    <w:rsid w:val="17CE7E68"/>
    <w:rsid w:val="17D13AF8"/>
    <w:rsid w:val="17D15BAA"/>
    <w:rsid w:val="17DC3298"/>
    <w:rsid w:val="17E51656"/>
    <w:rsid w:val="17EE4066"/>
    <w:rsid w:val="17F12854"/>
    <w:rsid w:val="17FC677A"/>
    <w:rsid w:val="180320C9"/>
    <w:rsid w:val="180C0990"/>
    <w:rsid w:val="1810319B"/>
    <w:rsid w:val="18117D55"/>
    <w:rsid w:val="18185501"/>
    <w:rsid w:val="181E2472"/>
    <w:rsid w:val="18240F06"/>
    <w:rsid w:val="18260B65"/>
    <w:rsid w:val="182E6B59"/>
    <w:rsid w:val="183121A5"/>
    <w:rsid w:val="183B5FE5"/>
    <w:rsid w:val="183D6D9C"/>
    <w:rsid w:val="1840063A"/>
    <w:rsid w:val="18493992"/>
    <w:rsid w:val="18512847"/>
    <w:rsid w:val="1861767D"/>
    <w:rsid w:val="1864257A"/>
    <w:rsid w:val="186C7681"/>
    <w:rsid w:val="18756F63"/>
    <w:rsid w:val="187A391C"/>
    <w:rsid w:val="187F1F5C"/>
    <w:rsid w:val="18893D8F"/>
    <w:rsid w:val="188A386F"/>
    <w:rsid w:val="188F7EED"/>
    <w:rsid w:val="18934C0E"/>
    <w:rsid w:val="189B3AC2"/>
    <w:rsid w:val="189D783A"/>
    <w:rsid w:val="189E05D8"/>
    <w:rsid w:val="18A2364C"/>
    <w:rsid w:val="18A46E1B"/>
    <w:rsid w:val="18A64941"/>
    <w:rsid w:val="18AF2A03"/>
    <w:rsid w:val="18B52DD6"/>
    <w:rsid w:val="18C63235"/>
    <w:rsid w:val="18C634C4"/>
    <w:rsid w:val="18CE5C46"/>
    <w:rsid w:val="18DE057F"/>
    <w:rsid w:val="18DE68FB"/>
    <w:rsid w:val="18EB4A4A"/>
    <w:rsid w:val="18EE262F"/>
    <w:rsid w:val="18EF453A"/>
    <w:rsid w:val="18F2402A"/>
    <w:rsid w:val="18FC27B3"/>
    <w:rsid w:val="19081158"/>
    <w:rsid w:val="19094B9F"/>
    <w:rsid w:val="190A3122"/>
    <w:rsid w:val="190C1530"/>
    <w:rsid w:val="19243AB3"/>
    <w:rsid w:val="192A253A"/>
    <w:rsid w:val="19355CC5"/>
    <w:rsid w:val="19457086"/>
    <w:rsid w:val="194F60B2"/>
    <w:rsid w:val="19540841"/>
    <w:rsid w:val="195E521C"/>
    <w:rsid w:val="196F11D7"/>
    <w:rsid w:val="19722A75"/>
    <w:rsid w:val="19813EB5"/>
    <w:rsid w:val="19830BC5"/>
    <w:rsid w:val="19877AF0"/>
    <w:rsid w:val="198D78AF"/>
    <w:rsid w:val="198F3CEE"/>
    <w:rsid w:val="19A63C91"/>
    <w:rsid w:val="19A846E9"/>
    <w:rsid w:val="19C332D1"/>
    <w:rsid w:val="19D92AF4"/>
    <w:rsid w:val="19E03E83"/>
    <w:rsid w:val="19E2356C"/>
    <w:rsid w:val="19E41BC5"/>
    <w:rsid w:val="19E9322C"/>
    <w:rsid w:val="19F45B80"/>
    <w:rsid w:val="19F4792E"/>
    <w:rsid w:val="19F748AB"/>
    <w:rsid w:val="19FE408F"/>
    <w:rsid w:val="1A045DC3"/>
    <w:rsid w:val="1A0833F5"/>
    <w:rsid w:val="1A116732"/>
    <w:rsid w:val="1A147FD0"/>
    <w:rsid w:val="1A1D3F0A"/>
    <w:rsid w:val="1A2069E9"/>
    <w:rsid w:val="1A267D71"/>
    <w:rsid w:val="1A2C78CF"/>
    <w:rsid w:val="1A3B4CD6"/>
    <w:rsid w:val="1A651C3E"/>
    <w:rsid w:val="1A664C6F"/>
    <w:rsid w:val="1A6744A6"/>
    <w:rsid w:val="1A7A7E33"/>
    <w:rsid w:val="1A8A3DEE"/>
    <w:rsid w:val="1A8C7B66"/>
    <w:rsid w:val="1AA03612"/>
    <w:rsid w:val="1AAA591C"/>
    <w:rsid w:val="1AAC38DB"/>
    <w:rsid w:val="1ABA0B77"/>
    <w:rsid w:val="1ABC3E08"/>
    <w:rsid w:val="1ABD5F72"/>
    <w:rsid w:val="1AC13CB4"/>
    <w:rsid w:val="1AD56286"/>
    <w:rsid w:val="1AD61BBD"/>
    <w:rsid w:val="1AE14356"/>
    <w:rsid w:val="1AE23C2A"/>
    <w:rsid w:val="1AEC31FA"/>
    <w:rsid w:val="1AEE304A"/>
    <w:rsid w:val="1AFC6A9A"/>
    <w:rsid w:val="1AFF2A2E"/>
    <w:rsid w:val="1B0E2C71"/>
    <w:rsid w:val="1B1458F5"/>
    <w:rsid w:val="1B1867CC"/>
    <w:rsid w:val="1B2129A5"/>
    <w:rsid w:val="1B2277DE"/>
    <w:rsid w:val="1B304996"/>
    <w:rsid w:val="1B3E3557"/>
    <w:rsid w:val="1B4641B9"/>
    <w:rsid w:val="1B4A3DD6"/>
    <w:rsid w:val="1B5C578B"/>
    <w:rsid w:val="1B5F1C31"/>
    <w:rsid w:val="1B647867"/>
    <w:rsid w:val="1B8A47D7"/>
    <w:rsid w:val="1BA3160C"/>
    <w:rsid w:val="1BB2184F"/>
    <w:rsid w:val="1BB2539B"/>
    <w:rsid w:val="1BB2644B"/>
    <w:rsid w:val="1BB455C7"/>
    <w:rsid w:val="1BB67591"/>
    <w:rsid w:val="1BBA4E5F"/>
    <w:rsid w:val="1BC81072"/>
    <w:rsid w:val="1BD80159"/>
    <w:rsid w:val="1BD82ED3"/>
    <w:rsid w:val="1BEA548C"/>
    <w:rsid w:val="1C072BC1"/>
    <w:rsid w:val="1C0F6CA1"/>
    <w:rsid w:val="1C1442B7"/>
    <w:rsid w:val="1C2269D4"/>
    <w:rsid w:val="1C24274C"/>
    <w:rsid w:val="1C417326"/>
    <w:rsid w:val="1C5F19D6"/>
    <w:rsid w:val="1C6238AE"/>
    <w:rsid w:val="1C654B13"/>
    <w:rsid w:val="1C701B88"/>
    <w:rsid w:val="1C7A236C"/>
    <w:rsid w:val="1C7B76CC"/>
    <w:rsid w:val="1C830EE6"/>
    <w:rsid w:val="1C8561D7"/>
    <w:rsid w:val="1C8F393E"/>
    <w:rsid w:val="1CA53161"/>
    <w:rsid w:val="1CB47EB3"/>
    <w:rsid w:val="1CC45CDD"/>
    <w:rsid w:val="1CC950A2"/>
    <w:rsid w:val="1CD02FCF"/>
    <w:rsid w:val="1CD13F56"/>
    <w:rsid w:val="1CD14400"/>
    <w:rsid w:val="1CD321AB"/>
    <w:rsid w:val="1CD51C99"/>
    <w:rsid w:val="1CDA105D"/>
    <w:rsid w:val="1CE046C9"/>
    <w:rsid w:val="1CE509C4"/>
    <w:rsid w:val="1CE65C54"/>
    <w:rsid w:val="1CE67A02"/>
    <w:rsid w:val="1CE978AC"/>
    <w:rsid w:val="1CEC1764"/>
    <w:rsid w:val="1CF540E9"/>
    <w:rsid w:val="1CFA16FF"/>
    <w:rsid w:val="1CFC0FD3"/>
    <w:rsid w:val="1D03782A"/>
    <w:rsid w:val="1D0460DA"/>
    <w:rsid w:val="1D047E88"/>
    <w:rsid w:val="1D0600A4"/>
    <w:rsid w:val="1D0E0D07"/>
    <w:rsid w:val="1D124BD8"/>
    <w:rsid w:val="1D1D719C"/>
    <w:rsid w:val="1D1E1CF3"/>
    <w:rsid w:val="1D1E53EE"/>
    <w:rsid w:val="1D2422D8"/>
    <w:rsid w:val="1D3C5874"/>
    <w:rsid w:val="1D4E014B"/>
    <w:rsid w:val="1D581860"/>
    <w:rsid w:val="1D6229F7"/>
    <w:rsid w:val="1D6E5D20"/>
    <w:rsid w:val="1D721295"/>
    <w:rsid w:val="1D7626D7"/>
    <w:rsid w:val="1D970CFC"/>
    <w:rsid w:val="1D9C5F87"/>
    <w:rsid w:val="1DAA0A8D"/>
    <w:rsid w:val="1DB31B15"/>
    <w:rsid w:val="1DB55626"/>
    <w:rsid w:val="1DC168FC"/>
    <w:rsid w:val="1DCD7725"/>
    <w:rsid w:val="1DD61886"/>
    <w:rsid w:val="1DD7559C"/>
    <w:rsid w:val="1DDC2BB3"/>
    <w:rsid w:val="1DE13DA4"/>
    <w:rsid w:val="1DE55F0B"/>
    <w:rsid w:val="1DE71C83"/>
    <w:rsid w:val="1DE75052"/>
    <w:rsid w:val="1DE9394C"/>
    <w:rsid w:val="1DEA47AA"/>
    <w:rsid w:val="1DED3864"/>
    <w:rsid w:val="1DFE0D7B"/>
    <w:rsid w:val="1E061BD3"/>
    <w:rsid w:val="1E0A1075"/>
    <w:rsid w:val="1E0B5246"/>
    <w:rsid w:val="1E1010E6"/>
    <w:rsid w:val="1E116D00"/>
    <w:rsid w:val="1E1214D9"/>
    <w:rsid w:val="1E126D78"/>
    <w:rsid w:val="1E15555D"/>
    <w:rsid w:val="1E17446E"/>
    <w:rsid w:val="1E1A267B"/>
    <w:rsid w:val="1E1E31CB"/>
    <w:rsid w:val="1E217C8F"/>
    <w:rsid w:val="1E236A34"/>
    <w:rsid w:val="1E257F9F"/>
    <w:rsid w:val="1E2C58E8"/>
    <w:rsid w:val="1E2F53D8"/>
    <w:rsid w:val="1E364F6B"/>
    <w:rsid w:val="1E4F4979"/>
    <w:rsid w:val="1E594203"/>
    <w:rsid w:val="1E5C5ADE"/>
    <w:rsid w:val="1E631070"/>
    <w:rsid w:val="1E632647"/>
    <w:rsid w:val="1E6D08CF"/>
    <w:rsid w:val="1E71206E"/>
    <w:rsid w:val="1E7718D1"/>
    <w:rsid w:val="1E8474D2"/>
    <w:rsid w:val="1E874F8A"/>
    <w:rsid w:val="1E8E3ADC"/>
    <w:rsid w:val="1E935774"/>
    <w:rsid w:val="1E963876"/>
    <w:rsid w:val="1EA57449"/>
    <w:rsid w:val="1EAB0F03"/>
    <w:rsid w:val="1EAE3C5A"/>
    <w:rsid w:val="1EAE50E8"/>
    <w:rsid w:val="1EC2624D"/>
    <w:rsid w:val="1EC375FC"/>
    <w:rsid w:val="1ED02718"/>
    <w:rsid w:val="1EDB1CC8"/>
    <w:rsid w:val="1EE040A8"/>
    <w:rsid w:val="1EF1275C"/>
    <w:rsid w:val="1EF81054"/>
    <w:rsid w:val="1EFF4DAB"/>
    <w:rsid w:val="1EFF7072"/>
    <w:rsid w:val="1F0E4FEE"/>
    <w:rsid w:val="1F114ADE"/>
    <w:rsid w:val="1F1221FF"/>
    <w:rsid w:val="1F1912DA"/>
    <w:rsid w:val="1F244811"/>
    <w:rsid w:val="1F271F34"/>
    <w:rsid w:val="1F3C68CD"/>
    <w:rsid w:val="1F4174B8"/>
    <w:rsid w:val="1F443106"/>
    <w:rsid w:val="1F4B6242"/>
    <w:rsid w:val="1F620517"/>
    <w:rsid w:val="1F795719"/>
    <w:rsid w:val="1F7A6B27"/>
    <w:rsid w:val="1F816F49"/>
    <w:rsid w:val="1F826C32"/>
    <w:rsid w:val="1F894518"/>
    <w:rsid w:val="1F8C592A"/>
    <w:rsid w:val="1F8D14AF"/>
    <w:rsid w:val="1F8D685B"/>
    <w:rsid w:val="1F925C1F"/>
    <w:rsid w:val="1F986A1E"/>
    <w:rsid w:val="1F9E45C4"/>
    <w:rsid w:val="1FA16AD8"/>
    <w:rsid w:val="1FB45B95"/>
    <w:rsid w:val="1FBE07C2"/>
    <w:rsid w:val="1FCD4EA9"/>
    <w:rsid w:val="1FDF35F7"/>
    <w:rsid w:val="1FE92B98"/>
    <w:rsid w:val="1FEC4E60"/>
    <w:rsid w:val="1FED4CAE"/>
    <w:rsid w:val="1FED72F9"/>
    <w:rsid w:val="1FFB4F1F"/>
    <w:rsid w:val="1FFBDC58"/>
    <w:rsid w:val="1FFC1B17"/>
    <w:rsid w:val="2016733F"/>
    <w:rsid w:val="201900EE"/>
    <w:rsid w:val="20210D51"/>
    <w:rsid w:val="202442FE"/>
    <w:rsid w:val="202865E4"/>
    <w:rsid w:val="202E6FD0"/>
    <w:rsid w:val="20421A6C"/>
    <w:rsid w:val="20427645"/>
    <w:rsid w:val="2043454C"/>
    <w:rsid w:val="20474C5B"/>
    <w:rsid w:val="20484078"/>
    <w:rsid w:val="20514CC6"/>
    <w:rsid w:val="205E1FA5"/>
    <w:rsid w:val="206C46C2"/>
    <w:rsid w:val="20735A50"/>
    <w:rsid w:val="20761FAC"/>
    <w:rsid w:val="20871D38"/>
    <w:rsid w:val="208A5A33"/>
    <w:rsid w:val="208F6602"/>
    <w:rsid w:val="20960FD0"/>
    <w:rsid w:val="209E1896"/>
    <w:rsid w:val="20A47E5F"/>
    <w:rsid w:val="20A904A1"/>
    <w:rsid w:val="20AE6A88"/>
    <w:rsid w:val="20BB5506"/>
    <w:rsid w:val="20BF3588"/>
    <w:rsid w:val="20C0056A"/>
    <w:rsid w:val="20C95AAB"/>
    <w:rsid w:val="20CA763A"/>
    <w:rsid w:val="20E46083"/>
    <w:rsid w:val="20E9477C"/>
    <w:rsid w:val="20F61771"/>
    <w:rsid w:val="20FB77F4"/>
    <w:rsid w:val="21076199"/>
    <w:rsid w:val="21132D8F"/>
    <w:rsid w:val="211865F8"/>
    <w:rsid w:val="213057D9"/>
    <w:rsid w:val="213F1DD6"/>
    <w:rsid w:val="21423675"/>
    <w:rsid w:val="214621D2"/>
    <w:rsid w:val="21472A39"/>
    <w:rsid w:val="215018EE"/>
    <w:rsid w:val="215313DE"/>
    <w:rsid w:val="217B36BD"/>
    <w:rsid w:val="217F7726"/>
    <w:rsid w:val="21907E4C"/>
    <w:rsid w:val="219537A4"/>
    <w:rsid w:val="219A525F"/>
    <w:rsid w:val="21A016D4"/>
    <w:rsid w:val="21A07893"/>
    <w:rsid w:val="21B756A9"/>
    <w:rsid w:val="21C43E81"/>
    <w:rsid w:val="21C85928"/>
    <w:rsid w:val="21CB5136"/>
    <w:rsid w:val="21D1218C"/>
    <w:rsid w:val="21D53E44"/>
    <w:rsid w:val="21E43EE3"/>
    <w:rsid w:val="21E50F2A"/>
    <w:rsid w:val="21E8028A"/>
    <w:rsid w:val="21F91F85"/>
    <w:rsid w:val="22034BB2"/>
    <w:rsid w:val="22056B7C"/>
    <w:rsid w:val="220B6862"/>
    <w:rsid w:val="220D0548"/>
    <w:rsid w:val="221738EF"/>
    <w:rsid w:val="22237002"/>
    <w:rsid w:val="22313DA6"/>
    <w:rsid w:val="223E3E3C"/>
    <w:rsid w:val="223E5BEA"/>
    <w:rsid w:val="22405E06"/>
    <w:rsid w:val="2243716B"/>
    <w:rsid w:val="225468E6"/>
    <w:rsid w:val="225B43B9"/>
    <w:rsid w:val="225E44DE"/>
    <w:rsid w:val="226C2CA6"/>
    <w:rsid w:val="227344AB"/>
    <w:rsid w:val="2277453D"/>
    <w:rsid w:val="227E61E1"/>
    <w:rsid w:val="22877591"/>
    <w:rsid w:val="22883309"/>
    <w:rsid w:val="228E3233"/>
    <w:rsid w:val="228E4CF6"/>
    <w:rsid w:val="22A939AB"/>
    <w:rsid w:val="22BC6D03"/>
    <w:rsid w:val="22C211A2"/>
    <w:rsid w:val="22C56332"/>
    <w:rsid w:val="22D02AC0"/>
    <w:rsid w:val="22D975CF"/>
    <w:rsid w:val="22E03145"/>
    <w:rsid w:val="22E35D21"/>
    <w:rsid w:val="22E94F81"/>
    <w:rsid w:val="22FB1D2D"/>
    <w:rsid w:val="23001392"/>
    <w:rsid w:val="23007343"/>
    <w:rsid w:val="23020375"/>
    <w:rsid w:val="2302130E"/>
    <w:rsid w:val="230A4C66"/>
    <w:rsid w:val="231A6657"/>
    <w:rsid w:val="231D51F7"/>
    <w:rsid w:val="23221237"/>
    <w:rsid w:val="2322550C"/>
    <w:rsid w:val="232F7C74"/>
    <w:rsid w:val="233023B1"/>
    <w:rsid w:val="23384D2F"/>
    <w:rsid w:val="23397B6B"/>
    <w:rsid w:val="23405992"/>
    <w:rsid w:val="23533917"/>
    <w:rsid w:val="23594EF2"/>
    <w:rsid w:val="23737B15"/>
    <w:rsid w:val="2375747E"/>
    <w:rsid w:val="23847F75"/>
    <w:rsid w:val="2389558B"/>
    <w:rsid w:val="23913566"/>
    <w:rsid w:val="239161EE"/>
    <w:rsid w:val="23922691"/>
    <w:rsid w:val="23B75C54"/>
    <w:rsid w:val="23C11584"/>
    <w:rsid w:val="23C409A5"/>
    <w:rsid w:val="23CE7442"/>
    <w:rsid w:val="23D36806"/>
    <w:rsid w:val="23D75264"/>
    <w:rsid w:val="23DA5DE6"/>
    <w:rsid w:val="23DF14A6"/>
    <w:rsid w:val="23E04E4F"/>
    <w:rsid w:val="23E629DD"/>
    <w:rsid w:val="23ED5B1A"/>
    <w:rsid w:val="23F04980"/>
    <w:rsid w:val="2406098A"/>
    <w:rsid w:val="241956A7"/>
    <w:rsid w:val="241D01E8"/>
    <w:rsid w:val="241F2399"/>
    <w:rsid w:val="24255939"/>
    <w:rsid w:val="242908E4"/>
    <w:rsid w:val="242B3183"/>
    <w:rsid w:val="243A68A3"/>
    <w:rsid w:val="243E6375"/>
    <w:rsid w:val="243F15F2"/>
    <w:rsid w:val="2460560E"/>
    <w:rsid w:val="2463402E"/>
    <w:rsid w:val="246A055E"/>
    <w:rsid w:val="2471674B"/>
    <w:rsid w:val="24720145"/>
    <w:rsid w:val="24791826"/>
    <w:rsid w:val="247C6E9E"/>
    <w:rsid w:val="248144B4"/>
    <w:rsid w:val="24831FDA"/>
    <w:rsid w:val="24857B00"/>
    <w:rsid w:val="2492046F"/>
    <w:rsid w:val="249266C1"/>
    <w:rsid w:val="24B9200F"/>
    <w:rsid w:val="24C14BBE"/>
    <w:rsid w:val="24CA5E5B"/>
    <w:rsid w:val="24E61397"/>
    <w:rsid w:val="24E639F7"/>
    <w:rsid w:val="24E673ED"/>
    <w:rsid w:val="24EE1B49"/>
    <w:rsid w:val="24EE7D9B"/>
    <w:rsid w:val="24F17DA3"/>
    <w:rsid w:val="24F84776"/>
    <w:rsid w:val="24FE1CAB"/>
    <w:rsid w:val="250C6DCB"/>
    <w:rsid w:val="251315B0"/>
    <w:rsid w:val="251E3B59"/>
    <w:rsid w:val="25333A00"/>
    <w:rsid w:val="253357AE"/>
    <w:rsid w:val="25381017"/>
    <w:rsid w:val="254371D0"/>
    <w:rsid w:val="25457290"/>
    <w:rsid w:val="25462756"/>
    <w:rsid w:val="254F7C5D"/>
    <w:rsid w:val="256B13EC"/>
    <w:rsid w:val="257007B0"/>
    <w:rsid w:val="257162D7"/>
    <w:rsid w:val="257A1FBD"/>
    <w:rsid w:val="257B4A53"/>
    <w:rsid w:val="259F2E44"/>
    <w:rsid w:val="25A0096A"/>
    <w:rsid w:val="25A231AE"/>
    <w:rsid w:val="25A5082D"/>
    <w:rsid w:val="25AC5561"/>
    <w:rsid w:val="25AE242B"/>
    <w:rsid w:val="25AF7CE5"/>
    <w:rsid w:val="25BB49DE"/>
    <w:rsid w:val="25BF5294"/>
    <w:rsid w:val="25C153C4"/>
    <w:rsid w:val="25C96113"/>
    <w:rsid w:val="25CC5A3B"/>
    <w:rsid w:val="25E310F1"/>
    <w:rsid w:val="25E8126D"/>
    <w:rsid w:val="25E90563"/>
    <w:rsid w:val="25F628FE"/>
    <w:rsid w:val="25FB793D"/>
    <w:rsid w:val="25FD5DBC"/>
    <w:rsid w:val="26055E85"/>
    <w:rsid w:val="260D24A3"/>
    <w:rsid w:val="261A6B2B"/>
    <w:rsid w:val="262250F4"/>
    <w:rsid w:val="26235823"/>
    <w:rsid w:val="26297B3D"/>
    <w:rsid w:val="26323CB8"/>
    <w:rsid w:val="26486F6F"/>
    <w:rsid w:val="265005E2"/>
    <w:rsid w:val="2650413E"/>
    <w:rsid w:val="26536BE9"/>
    <w:rsid w:val="26541E80"/>
    <w:rsid w:val="265B576D"/>
    <w:rsid w:val="265C275A"/>
    <w:rsid w:val="265E2685"/>
    <w:rsid w:val="26722306"/>
    <w:rsid w:val="267C13D7"/>
    <w:rsid w:val="267F67D1"/>
    <w:rsid w:val="268E2F26"/>
    <w:rsid w:val="26960AA9"/>
    <w:rsid w:val="26964247"/>
    <w:rsid w:val="269C3BDF"/>
    <w:rsid w:val="26A90F41"/>
    <w:rsid w:val="26B71553"/>
    <w:rsid w:val="26BA4E3F"/>
    <w:rsid w:val="26CD3696"/>
    <w:rsid w:val="26E01966"/>
    <w:rsid w:val="26E60B12"/>
    <w:rsid w:val="26EA3700"/>
    <w:rsid w:val="26F64CE5"/>
    <w:rsid w:val="26FD2518"/>
    <w:rsid w:val="270F224B"/>
    <w:rsid w:val="271E248E"/>
    <w:rsid w:val="27277595"/>
    <w:rsid w:val="273048DD"/>
    <w:rsid w:val="27367A35"/>
    <w:rsid w:val="27421CD9"/>
    <w:rsid w:val="27466F3A"/>
    <w:rsid w:val="27473793"/>
    <w:rsid w:val="274D6B9B"/>
    <w:rsid w:val="274E68CF"/>
    <w:rsid w:val="275B723E"/>
    <w:rsid w:val="276069DC"/>
    <w:rsid w:val="2767011B"/>
    <w:rsid w:val="27781B9E"/>
    <w:rsid w:val="27847261"/>
    <w:rsid w:val="278D2FD1"/>
    <w:rsid w:val="27944F26"/>
    <w:rsid w:val="279D33B3"/>
    <w:rsid w:val="27A55F32"/>
    <w:rsid w:val="27A74232"/>
    <w:rsid w:val="27CE2B9D"/>
    <w:rsid w:val="27D45151"/>
    <w:rsid w:val="27DC037F"/>
    <w:rsid w:val="27DC12B5"/>
    <w:rsid w:val="27E9484A"/>
    <w:rsid w:val="27EB05C2"/>
    <w:rsid w:val="27FA25B3"/>
    <w:rsid w:val="28011B94"/>
    <w:rsid w:val="28153891"/>
    <w:rsid w:val="28221B0A"/>
    <w:rsid w:val="2827071F"/>
    <w:rsid w:val="28285372"/>
    <w:rsid w:val="2832613A"/>
    <w:rsid w:val="283956CD"/>
    <w:rsid w:val="284158D2"/>
    <w:rsid w:val="284F2098"/>
    <w:rsid w:val="285919D0"/>
    <w:rsid w:val="285C4CC5"/>
    <w:rsid w:val="2871223C"/>
    <w:rsid w:val="28757E8C"/>
    <w:rsid w:val="288B3B53"/>
    <w:rsid w:val="2893261E"/>
    <w:rsid w:val="289742A6"/>
    <w:rsid w:val="28A644E9"/>
    <w:rsid w:val="28AA35FD"/>
    <w:rsid w:val="28AF5E5E"/>
    <w:rsid w:val="28B119B2"/>
    <w:rsid w:val="28B5111E"/>
    <w:rsid w:val="28B85CFC"/>
    <w:rsid w:val="28C06BE8"/>
    <w:rsid w:val="28C250C1"/>
    <w:rsid w:val="28C77A33"/>
    <w:rsid w:val="28CA01D8"/>
    <w:rsid w:val="28E13773"/>
    <w:rsid w:val="28FB2A87"/>
    <w:rsid w:val="28FF08FB"/>
    <w:rsid w:val="29003BF9"/>
    <w:rsid w:val="29065952"/>
    <w:rsid w:val="29071FF4"/>
    <w:rsid w:val="290F45A7"/>
    <w:rsid w:val="291D0C4F"/>
    <w:rsid w:val="291E22D1"/>
    <w:rsid w:val="29261C6E"/>
    <w:rsid w:val="292673D8"/>
    <w:rsid w:val="292E4C0A"/>
    <w:rsid w:val="29330BF8"/>
    <w:rsid w:val="2935718F"/>
    <w:rsid w:val="293B7327"/>
    <w:rsid w:val="29471828"/>
    <w:rsid w:val="294855A0"/>
    <w:rsid w:val="294C608D"/>
    <w:rsid w:val="296028EA"/>
    <w:rsid w:val="29646079"/>
    <w:rsid w:val="296F53E7"/>
    <w:rsid w:val="29791BFE"/>
    <w:rsid w:val="297F1BE6"/>
    <w:rsid w:val="298277D7"/>
    <w:rsid w:val="29930F11"/>
    <w:rsid w:val="299B4FB9"/>
    <w:rsid w:val="299B7DC6"/>
    <w:rsid w:val="299C7BC6"/>
    <w:rsid w:val="299F1664"/>
    <w:rsid w:val="29A053DC"/>
    <w:rsid w:val="29BA649E"/>
    <w:rsid w:val="29BD7D3C"/>
    <w:rsid w:val="29BF1926"/>
    <w:rsid w:val="29CC7D1C"/>
    <w:rsid w:val="29CC7F7F"/>
    <w:rsid w:val="29CE3CF8"/>
    <w:rsid w:val="29CF259C"/>
    <w:rsid w:val="29DB6414"/>
    <w:rsid w:val="29E11065"/>
    <w:rsid w:val="29E405F2"/>
    <w:rsid w:val="29E97D3C"/>
    <w:rsid w:val="29F00112"/>
    <w:rsid w:val="29FB3C01"/>
    <w:rsid w:val="29FC75A9"/>
    <w:rsid w:val="2A0239A1"/>
    <w:rsid w:val="2A222295"/>
    <w:rsid w:val="2A333077"/>
    <w:rsid w:val="2A3B49FD"/>
    <w:rsid w:val="2A3F7CA9"/>
    <w:rsid w:val="2A473AAA"/>
    <w:rsid w:val="2A552364"/>
    <w:rsid w:val="2A5B478B"/>
    <w:rsid w:val="2A64640A"/>
    <w:rsid w:val="2A6B512A"/>
    <w:rsid w:val="2A6B59EA"/>
    <w:rsid w:val="2A6D1762"/>
    <w:rsid w:val="2A704DAF"/>
    <w:rsid w:val="2A72760F"/>
    <w:rsid w:val="2A7D127A"/>
    <w:rsid w:val="2A7F004F"/>
    <w:rsid w:val="2A8460E4"/>
    <w:rsid w:val="2A8D0920"/>
    <w:rsid w:val="2A905451"/>
    <w:rsid w:val="2A9071FF"/>
    <w:rsid w:val="2A942B0C"/>
    <w:rsid w:val="2A950CB9"/>
    <w:rsid w:val="2A985F7F"/>
    <w:rsid w:val="2A9A5AE4"/>
    <w:rsid w:val="2AA9206F"/>
    <w:rsid w:val="2AC33130"/>
    <w:rsid w:val="2AC84BEB"/>
    <w:rsid w:val="2AD21B6A"/>
    <w:rsid w:val="2AD40BAD"/>
    <w:rsid w:val="2AE569D2"/>
    <w:rsid w:val="2AED7924"/>
    <w:rsid w:val="2AF21C68"/>
    <w:rsid w:val="2B002933"/>
    <w:rsid w:val="2B033E75"/>
    <w:rsid w:val="2B100D78"/>
    <w:rsid w:val="2B124DBB"/>
    <w:rsid w:val="2B177920"/>
    <w:rsid w:val="2B1970D2"/>
    <w:rsid w:val="2B200D1C"/>
    <w:rsid w:val="2B231E21"/>
    <w:rsid w:val="2B255B99"/>
    <w:rsid w:val="2B2A7653"/>
    <w:rsid w:val="2B2D2106"/>
    <w:rsid w:val="2B3B7B09"/>
    <w:rsid w:val="2B411285"/>
    <w:rsid w:val="2B4C1378"/>
    <w:rsid w:val="2B4D50F0"/>
    <w:rsid w:val="2B682C4D"/>
    <w:rsid w:val="2B807273"/>
    <w:rsid w:val="2B824D9A"/>
    <w:rsid w:val="2B8B0DFF"/>
    <w:rsid w:val="2B8D3E97"/>
    <w:rsid w:val="2B8F55E0"/>
    <w:rsid w:val="2B944ACD"/>
    <w:rsid w:val="2B967A6F"/>
    <w:rsid w:val="2B971874"/>
    <w:rsid w:val="2B9E5140"/>
    <w:rsid w:val="2BA1664E"/>
    <w:rsid w:val="2BAF1907"/>
    <w:rsid w:val="2BBE1B4A"/>
    <w:rsid w:val="2BC233F5"/>
    <w:rsid w:val="2BC864D6"/>
    <w:rsid w:val="2BE94E19"/>
    <w:rsid w:val="2BFA3450"/>
    <w:rsid w:val="2BFF0941"/>
    <w:rsid w:val="2C051662"/>
    <w:rsid w:val="2C1D3FEF"/>
    <w:rsid w:val="2C226C1E"/>
    <w:rsid w:val="2C2440A3"/>
    <w:rsid w:val="2C302A48"/>
    <w:rsid w:val="2C365A9F"/>
    <w:rsid w:val="2C3A38C6"/>
    <w:rsid w:val="2C43423F"/>
    <w:rsid w:val="2C467858"/>
    <w:rsid w:val="2C4B7881"/>
    <w:rsid w:val="2C5566FE"/>
    <w:rsid w:val="2C5A3F68"/>
    <w:rsid w:val="2C695F59"/>
    <w:rsid w:val="2C6B3A80"/>
    <w:rsid w:val="2C6E17C2"/>
    <w:rsid w:val="2C767515"/>
    <w:rsid w:val="2C7A0167"/>
    <w:rsid w:val="2C9D02B8"/>
    <w:rsid w:val="2CA242A1"/>
    <w:rsid w:val="2CC1128D"/>
    <w:rsid w:val="2CC3590E"/>
    <w:rsid w:val="2CCA2E9C"/>
    <w:rsid w:val="2CD6698D"/>
    <w:rsid w:val="2CE26A55"/>
    <w:rsid w:val="2CE370FB"/>
    <w:rsid w:val="2CE643D9"/>
    <w:rsid w:val="2CF5247B"/>
    <w:rsid w:val="2D047A30"/>
    <w:rsid w:val="2D0D0FDB"/>
    <w:rsid w:val="2D1063D5"/>
    <w:rsid w:val="2D1A6F3A"/>
    <w:rsid w:val="2D1C121E"/>
    <w:rsid w:val="2D2325AC"/>
    <w:rsid w:val="2D247C95"/>
    <w:rsid w:val="2D2600BB"/>
    <w:rsid w:val="2D2B1461"/>
    <w:rsid w:val="2D3F7E95"/>
    <w:rsid w:val="2D4A5D8B"/>
    <w:rsid w:val="2D542766"/>
    <w:rsid w:val="2D5B3AF4"/>
    <w:rsid w:val="2D720E3E"/>
    <w:rsid w:val="2D721BC9"/>
    <w:rsid w:val="2D83304B"/>
    <w:rsid w:val="2D8C0151"/>
    <w:rsid w:val="2D952EB6"/>
    <w:rsid w:val="2D964B2C"/>
    <w:rsid w:val="2D9A23CF"/>
    <w:rsid w:val="2DA51213"/>
    <w:rsid w:val="2DA76D39"/>
    <w:rsid w:val="2DAC07F4"/>
    <w:rsid w:val="2DB256DE"/>
    <w:rsid w:val="2DC518B5"/>
    <w:rsid w:val="2DC611C6"/>
    <w:rsid w:val="2DCA6ACA"/>
    <w:rsid w:val="2DCF44E2"/>
    <w:rsid w:val="2DD1025A"/>
    <w:rsid w:val="2DDB2E18"/>
    <w:rsid w:val="2DE41D3C"/>
    <w:rsid w:val="2DE638D9"/>
    <w:rsid w:val="2DF301D1"/>
    <w:rsid w:val="2DFB52D7"/>
    <w:rsid w:val="2DFD4BAB"/>
    <w:rsid w:val="2E2465DC"/>
    <w:rsid w:val="2E287171"/>
    <w:rsid w:val="2E3A2389"/>
    <w:rsid w:val="2E3E77B5"/>
    <w:rsid w:val="2E4158D3"/>
    <w:rsid w:val="2E4837A3"/>
    <w:rsid w:val="2E4E2A7C"/>
    <w:rsid w:val="2E5B1984"/>
    <w:rsid w:val="2E5B484F"/>
    <w:rsid w:val="2E617D80"/>
    <w:rsid w:val="2E6469D8"/>
    <w:rsid w:val="2E8A42EA"/>
    <w:rsid w:val="2E8C0C88"/>
    <w:rsid w:val="2E8C5F2F"/>
    <w:rsid w:val="2E8C71AC"/>
    <w:rsid w:val="2EAD3740"/>
    <w:rsid w:val="2EAE5EA6"/>
    <w:rsid w:val="2EB3170E"/>
    <w:rsid w:val="2EC43607"/>
    <w:rsid w:val="2EC53BFF"/>
    <w:rsid w:val="2ED94719"/>
    <w:rsid w:val="2EDC6293"/>
    <w:rsid w:val="2EE14E8D"/>
    <w:rsid w:val="2EE45D6B"/>
    <w:rsid w:val="2EE51F36"/>
    <w:rsid w:val="2EE95130"/>
    <w:rsid w:val="2EFC1307"/>
    <w:rsid w:val="2F0A0624"/>
    <w:rsid w:val="2F1A178D"/>
    <w:rsid w:val="2F210D6D"/>
    <w:rsid w:val="2F2B1A9A"/>
    <w:rsid w:val="2F2B5748"/>
    <w:rsid w:val="2F3B49D4"/>
    <w:rsid w:val="2F4036C6"/>
    <w:rsid w:val="2F416D1A"/>
    <w:rsid w:val="2F49109A"/>
    <w:rsid w:val="2F57478F"/>
    <w:rsid w:val="2F590507"/>
    <w:rsid w:val="2F5A7DDB"/>
    <w:rsid w:val="2F5C2E2B"/>
    <w:rsid w:val="2F631474"/>
    <w:rsid w:val="2F631A9B"/>
    <w:rsid w:val="2F635838"/>
    <w:rsid w:val="2F715E5C"/>
    <w:rsid w:val="2F860BD0"/>
    <w:rsid w:val="2F882B9B"/>
    <w:rsid w:val="2F8D6403"/>
    <w:rsid w:val="2F8F7422"/>
    <w:rsid w:val="2F9B28CE"/>
    <w:rsid w:val="2FA03196"/>
    <w:rsid w:val="2FA07EE4"/>
    <w:rsid w:val="2FA624D3"/>
    <w:rsid w:val="2FA63021"/>
    <w:rsid w:val="2FAA2B11"/>
    <w:rsid w:val="2FAD43AF"/>
    <w:rsid w:val="2FB40BF4"/>
    <w:rsid w:val="2FC16F57"/>
    <w:rsid w:val="2FCD4C4E"/>
    <w:rsid w:val="2FD932DD"/>
    <w:rsid w:val="2FE05360"/>
    <w:rsid w:val="2FE67C7C"/>
    <w:rsid w:val="2FEF2C1A"/>
    <w:rsid w:val="300C7328"/>
    <w:rsid w:val="302A6D42"/>
    <w:rsid w:val="302C1778"/>
    <w:rsid w:val="3034687E"/>
    <w:rsid w:val="30387855"/>
    <w:rsid w:val="304C3BC8"/>
    <w:rsid w:val="305D273A"/>
    <w:rsid w:val="305E7A82"/>
    <w:rsid w:val="3069477A"/>
    <w:rsid w:val="306F77B8"/>
    <w:rsid w:val="30711E07"/>
    <w:rsid w:val="307318E5"/>
    <w:rsid w:val="307A0735"/>
    <w:rsid w:val="307A14F6"/>
    <w:rsid w:val="308C66BA"/>
    <w:rsid w:val="30913333"/>
    <w:rsid w:val="309537C1"/>
    <w:rsid w:val="309A2B85"/>
    <w:rsid w:val="30A9101A"/>
    <w:rsid w:val="30B17ECF"/>
    <w:rsid w:val="30BA3228"/>
    <w:rsid w:val="30BD6150"/>
    <w:rsid w:val="30C3032E"/>
    <w:rsid w:val="30D54CE2"/>
    <w:rsid w:val="30D76B61"/>
    <w:rsid w:val="30DF2C8E"/>
    <w:rsid w:val="30E60A92"/>
    <w:rsid w:val="30E958BB"/>
    <w:rsid w:val="30EB1633"/>
    <w:rsid w:val="30EE1123"/>
    <w:rsid w:val="30FE4305"/>
    <w:rsid w:val="30FF30E4"/>
    <w:rsid w:val="310426F5"/>
    <w:rsid w:val="310A2C1E"/>
    <w:rsid w:val="31175910"/>
    <w:rsid w:val="312300F1"/>
    <w:rsid w:val="31293F09"/>
    <w:rsid w:val="312A2BBC"/>
    <w:rsid w:val="313474AF"/>
    <w:rsid w:val="31424C1B"/>
    <w:rsid w:val="314D19A6"/>
    <w:rsid w:val="316A69FC"/>
    <w:rsid w:val="3175685D"/>
    <w:rsid w:val="318B3D1F"/>
    <w:rsid w:val="319266B9"/>
    <w:rsid w:val="319C0B7F"/>
    <w:rsid w:val="319E18AF"/>
    <w:rsid w:val="31A0241D"/>
    <w:rsid w:val="31A35A6A"/>
    <w:rsid w:val="31A737AC"/>
    <w:rsid w:val="31B1462B"/>
    <w:rsid w:val="31BA5C46"/>
    <w:rsid w:val="31BE4652"/>
    <w:rsid w:val="31C1450F"/>
    <w:rsid w:val="31CC380F"/>
    <w:rsid w:val="31D16A7B"/>
    <w:rsid w:val="31D7683C"/>
    <w:rsid w:val="31DE6AA2"/>
    <w:rsid w:val="31E63BA8"/>
    <w:rsid w:val="31E72665"/>
    <w:rsid w:val="31EA18EB"/>
    <w:rsid w:val="31FF3BE1"/>
    <w:rsid w:val="320A5AE9"/>
    <w:rsid w:val="320A705C"/>
    <w:rsid w:val="321626E0"/>
    <w:rsid w:val="3220530C"/>
    <w:rsid w:val="322D7BA4"/>
    <w:rsid w:val="322F2A2C"/>
    <w:rsid w:val="322F4081"/>
    <w:rsid w:val="323B5CA2"/>
    <w:rsid w:val="324057F9"/>
    <w:rsid w:val="3240775C"/>
    <w:rsid w:val="324A243E"/>
    <w:rsid w:val="328647AA"/>
    <w:rsid w:val="328A3DB3"/>
    <w:rsid w:val="328E4784"/>
    <w:rsid w:val="329172E0"/>
    <w:rsid w:val="32936626"/>
    <w:rsid w:val="32981347"/>
    <w:rsid w:val="329D207C"/>
    <w:rsid w:val="329F0927"/>
    <w:rsid w:val="329F29C5"/>
    <w:rsid w:val="32A47CEB"/>
    <w:rsid w:val="32A95302"/>
    <w:rsid w:val="32B21FCE"/>
    <w:rsid w:val="32B9516F"/>
    <w:rsid w:val="32BF655F"/>
    <w:rsid w:val="32D3237F"/>
    <w:rsid w:val="32D57EA5"/>
    <w:rsid w:val="32D63C1D"/>
    <w:rsid w:val="32DC1B6B"/>
    <w:rsid w:val="32FA5B03"/>
    <w:rsid w:val="33082028"/>
    <w:rsid w:val="33104B3E"/>
    <w:rsid w:val="33123E4B"/>
    <w:rsid w:val="331309CD"/>
    <w:rsid w:val="33185FE3"/>
    <w:rsid w:val="332826CA"/>
    <w:rsid w:val="332854C6"/>
    <w:rsid w:val="3330157F"/>
    <w:rsid w:val="334F40FB"/>
    <w:rsid w:val="3355548A"/>
    <w:rsid w:val="33627CC8"/>
    <w:rsid w:val="33680D19"/>
    <w:rsid w:val="336D4581"/>
    <w:rsid w:val="337B4EE2"/>
    <w:rsid w:val="337E678E"/>
    <w:rsid w:val="3391274F"/>
    <w:rsid w:val="339C09C3"/>
    <w:rsid w:val="339E0C63"/>
    <w:rsid w:val="339E223D"/>
    <w:rsid w:val="33A930DF"/>
    <w:rsid w:val="33BA1B0F"/>
    <w:rsid w:val="33C43747"/>
    <w:rsid w:val="33C6384C"/>
    <w:rsid w:val="33C81240"/>
    <w:rsid w:val="33D031A7"/>
    <w:rsid w:val="33D606F0"/>
    <w:rsid w:val="33D95773"/>
    <w:rsid w:val="33DE69FB"/>
    <w:rsid w:val="33E10ACB"/>
    <w:rsid w:val="33EA5BD2"/>
    <w:rsid w:val="33EB6CD8"/>
    <w:rsid w:val="33ED25F1"/>
    <w:rsid w:val="33F2201F"/>
    <w:rsid w:val="33FC76B3"/>
    <w:rsid w:val="33FFE6F6"/>
    <w:rsid w:val="34022441"/>
    <w:rsid w:val="34060532"/>
    <w:rsid w:val="340622E0"/>
    <w:rsid w:val="34120C85"/>
    <w:rsid w:val="341414AE"/>
    <w:rsid w:val="341E7629"/>
    <w:rsid w:val="34207CC4"/>
    <w:rsid w:val="34270BD4"/>
    <w:rsid w:val="343368B5"/>
    <w:rsid w:val="34401C96"/>
    <w:rsid w:val="344352E2"/>
    <w:rsid w:val="34647E8F"/>
    <w:rsid w:val="346A6D13"/>
    <w:rsid w:val="34757B91"/>
    <w:rsid w:val="348222AE"/>
    <w:rsid w:val="349873DC"/>
    <w:rsid w:val="349B295B"/>
    <w:rsid w:val="34A068A9"/>
    <w:rsid w:val="34B4128E"/>
    <w:rsid w:val="34B83E70"/>
    <w:rsid w:val="34BF705E"/>
    <w:rsid w:val="34C44675"/>
    <w:rsid w:val="34C658A7"/>
    <w:rsid w:val="34D25577"/>
    <w:rsid w:val="34D66156"/>
    <w:rsid w:val="34D67F04"/>
    <w:rsid w:val="34F605F4"/>
    <w:rsid w:val="34FB5BBD"/>
    <w:rsid w:val="34FF56AD"/>
    <w:rsid w:val="3511368C"/>
    <w:rsid w:val="351729F7"/>
    <w:rsid w:val="352A5FC8"/>
    <w:rsid w:val="352B0250"/>
    <w:rsid w:val="35325A82"/>
    <w:rsid w:val="35492DCC"/>
    <w:rsid w:val="354A5274"/>
    <w:rsid w:val="35553903"/>
    <w:rsid w:val="35572E64"/>
    <w:rsid w:val="355A28E3"/>
    <w:rsid w:val="35716EF9"/>
    <w:rsid w:val="35784FD2"/>
    <w:rsid w:val="357C6CFE"/>
    <w:rsid w:val="357F059C"/>
    <w:rsid w:val="35887450"/>
    <w:rsid w:val="35957DBF"/>
    <w:rsid w:val="359B2536"/>
    <w:rsid w:val="359C7225"/>
    <w:rsid w:val="359F71AB"/>
    <w:rsid w:val="35AC524C"/>
    <w:rsid w:val="35BC17F0"/>
    <w:rsid w:val="35C37BA8"/>
    <w:rsid w:val="35D02BA5"/>
    <w:rsid w:val="35D408E8"/>
    <w:rsid w:val="35D73F34"/>
    <w:rsid w:val="35DB1B15"/>
    <w:rsid w:val="35EF5721"/>
    <w:rsid w:val="360102DF"/>
    <w:rsid w:val="36010FB1"/>
    <w:rsid w:val="36034D29"/>
    <w:rsid w:val="360D3DFA"/>
    <w:rsid w:val="36135298"/>
    <w:rsid w:val="361E7DB5"/>
    <w:rsid w:val="36225336"/>
    <w:rsid w:val="3629459C"/>
    <w:rsid w:val="362F4329"/>
    <w:rsid w:val="364041CF"/>
    <w:rsid w:val="36453593"/>
    <w:rsid w:val="36483084"/>
    <w:rsid w:val="364C4922"/>
    <w:rsid w:val="3651239C"/>
    <w:rsid w:val="365135ED"/>
    <w:rsid w:val="36513CE6"/>
    <w:rsid w:val="365A4B20"/>
    <w:rsid w:val="365B2DB7"/>
    <w:rsid w:val="366D6646"/>
    <w:rsid w:val="367774C5"/>
    <w:rsid w:val="36794FEB"/>
    <w:rsid w:val="36853990"/>
    <w:rsid w:val="368D023C"/>
    <w:rsid w:val="368D6CE8"/>
    <w:rsid w:val="369B1405"/>
    <w:rsid w:val="36AA1648"/>
    <w:rsid w:val="36BA44AD"/>
    <w:rsid w:val="36BF6561"/>
    <w:rsid w:val="36D0318A"/>
    <w:rsid w:val="36D50F1A"/>
    <w:rsid w:val="36DD1A1E"/>
    <w:rsid w:val="36EC3A0F"/>
    <w:rsid w:val="36F66379"/>
    <w:rsid w:val="370F6B05"/>
    <w:rsid w:val="37152C18"/>
    <w:rsid w:val="371B2415"/>
    <w:rsid w:val="37260FD5"/>
    <w:rsid w:val="37362EDC"/>
    <w:rsid w:val="373F6235"/>
    <w:rsid w:val="374E46CA"/>
    <w:rsid w:val="375241BA"/>
    <w:rsid w:val="37527DC7"/>
    <w:rsid w:val="375E3E02"/>
    <w:rsid w:val="3768578B"/>
    <w:rsid w:val="37737C8C"/>
    <w:rsid w:val="377E3E19"/>
    <w:rsid w:val="377F2CF7"/>
    <w:rsid w:val="37807C16"/>
    <w:rsid w:val="378105FB"/>
    <w:rsid w:val="37895702"/>
    <w:rsid w:val="378B7132"/>
    <w:rsid w:val="378F2913"/>
    <w:rsid w:val="37982C1F"/>
    <w:rsid w:val="379E11AD"/>
    <w:rsid w:val="37A10C9D"/>
    <w:rsid w:val="37A273F2"/>
    <w:rsid w:val="37A442EA"/>
    <w:rsid w:val="37AB5678"/>
    <w:rsid w:val="37C075D3"/>
    <w:rsid w:val="37C776E8"/>
    <w:rsid w:val="37CB6AAC"/>
    <w:rsid w:val="37CD1A51"/>
    <w:rsid w:val="37D746BF"/>
    <w:rsid w:val="37F13A5C"/>
    <w:rsid w:val="37F253D5"/>
    <w:rsid w:val="37F94635"/>
    <w:rsid w:val="37FB1FE2"/>
    <w:rsid w:val="3810372D"/>
    <w:rsid w:val="3814146F"/>
    <w:rsid w:val="382F40D0"/>
    <w:rsid w:val="383079F1"/>
    <w:rsid w:val="383438BF"/>
    <w:rsid w:val="38353194"/>
    <w:rsid w:val="38383C6F"/>
    <w:rsid w:val="383D2CCC"/>
    <w:rsid w:val="383F3871"/>
    <w:rsid w:val="384A43BB"/>
    <w:rsid w:val="384F6612"/>
    <w:rsid w:val="386046B4"/>
    <w:rsid w:val="38606463"/>
    <w:rsid w:val="3862667F"/>
    <w:rsid w:val="388163D9"/>
    <w:rsid w:val="388A34DF"/>
    <w:rsid w:val="38912AC0"/>
    <w:rsid w:val="389C79A6"/>
    <w:rsid w:val="38A02D03"/>
    <w:rsid w:val="38A547BD"/>
    <w:rsid w:val="38A87E0A"/>
    <w:rsid w:val="38AB0F6C"/>
    <w:rsid w:val="38B7004D"/>
    <w:rsid w:val="38B77AB8"/>
    <w:rsid w:val="38C27D41"/>
    <w:rsid w:val="38C97D92"/>
    <w:rsid w:val="38D96215"/>
    <w:rsid w:val="38DB1F8D"/>
    <w:rsid w:val="38DE2C4B"/>
    <w:rsid w:val="38E96026"/>
    <w:rsid w:val="38EE0D7F"/>
    <w:rsid w:val="38F44DFD"/>
    <w:rsid w:val="38FA6BDC"/>
    <w:rsid w:val="39037D37"/>
    <w:rsid w:val="3908412D"/>
    <w:rsid w:val="39096AFA"/>
    <w:rsid w:val="390E5EBF"/>
    <w:rsid w:val="391536F1"/>
    <w:rsid w:val="391C1353"/>
    <w:rsid w:val="392456E2"/>
    <w:rsid w:val="39276F80"/>
    <w:rsid w:val="39276FBD"/>
    <w:rsid w:val="39290004"/>
    <w:rsid w:val="39295484"/>
    <w:rsid w:val="3929719C"/>
    <w:rsid w:val="392C40C6"/>
    <w:rsid w:val="3943613B"/>
    <w:rsid w:val="3958538C"/>
    <w:rsid w:val="395858F1"/>
    <w:rsid w:val="395C627C"/>
    <w:rsid w:val="3967072B"/>
    <w:rsid w:val="397B0F37"/>
    <w:rsid w:val="39855E23"/>
    <w:rsid w:val="398D772B"/>
    <w:rsid w:val="399F745E"/>
    <w:rsid w:val="39A24859"/>
    <w:rsid w:val="39AD1B7B"/>
    <w:rsid w:val="39B24E59"/>
    <w:rsid w:val="39CD7164"/>
    <w:rsid w:val="39CE0CE9"/>
    <w:rsid w:val="39D05678"/>
    <w:rsid w:val="39D30EB6"/>
    <w:rsid w:val="39D4535A"/>
    <w:rsid w:val="39D76BF8"/>
    <w:rsid w:val="39DA2245"/>
    <w:rsid w:val="39DF342A"/>
    <w:rsid w:val="39E135D3"/>
    <w:rsid w:val="39E6203F"/>
    <w:rsid w:val="39E82BB3"/>
    <w:rsid w:val="39F27FA9"/>
    <w:rsid w:val="3A231C9E"/>
    <w:rsid w:val="3A334639"/>
    <w:rsid w:val="3A571C5F"/>
    <w:rsid w:val="3A612966"/>
    <w:rsid w:val="3A67612F"/>
    <w:rsid w:val="3A741B21"/>
    <w:rsid w:val="3A766411"/>
    <w:rsid w:val="3A865F28"/>
    <w:rsid w:val="3A89770A"/>
    <w:rsid w:val="3A9B5E78"/>
    <w:rsid w:val="3AA06FEA"/>
    <w:rsid w:val="3AA80B99"/>
    <w:rsid w:val="3AC0143A"/>
    <w:rsid w:val="3AC104B7"/>
    <w:rsid w:val="3AC33B21"/>
    <w:rsid w:val="3AC70A1B"/>
    <w:rsid w:val="3AC93E7D"/>
    <w:rsid w:val="3AD40A88"/>
    <w:rsid w:val="3AD974E2"/>
    <w:rsid w:val="3ADA7DB8"/>
    <w:rsid w:val="3ADE5C5A"/>
    <w:rsid w:val="3ADF55CA"/>
    <w:rsid w:val="3AE10C0A"/>
    <w:rsid w:val="3AE3337B"/>
    <w:rsid w:val="3AE45843"/>
    <w:rsid w:val="3AE55345"/>
    <w:rsid w:val="3AF7072A"/>
    <w:rsid w:val="3AFB7E6A"/>
    <w:rsid w:val="3B034953"/>
    <w:rsid w:val="3B166C23"/>
    <w:rsid w:val="3B1F6810"/>
    <w:rsid w:val="3B2740D4"/>
    <w:rsid w:val="3B2A2D58"/>
    <w:rsid w:val="3B2C298C"/>
    <w:rsid w:val="3B31058A"/>
    <w:rsid w:val="3B36794F"/>
    <w:rsid w:val="3B385475"/>
    <w:rsid w:val="3B390431"/>
    <w:rsid w:val="3B392F9B"/>
    <w:rsid w:val="3B3D6F2F"/>
    <w:rsid w:val="3B40257B"/>
    <w:rsid w:val="3B46104B"/>
    <w:rsid w:val="3B4D6748"/>
    <w:rsid w:val="3B560370"/>
    <w:rsid w:val="3B594FBE"/>
    <w:rsid w:val="3B5A363D"/>
    <w:rsid w:val="3B5B6434"/>
    <w:rsid w:val="3B5E5528"/>
    <w:rsid w:val="3B6B5106"/>
    <w:rsid w:val="3B7F4E52"/>
    <w:rsid w:val="3B844B5E"/>
    <w:rsid w:val="3B9052B1"/>
    <w:rsid w:val="3B961D77"/>
    <w:rsid w:val="3B9800F0"/>
    <w:rsid w:val="3B9D79CE"/>
    <w:rsid w:val="3BA96372"/>
    <w:rsid w:val="3BB43FA5"/>
    <w:rsid w:val="3BB938E8"/>
    <w:rsid w:val="3BBC1D7C"/>
    <w:rsid w:val="3BBC60A6"/>
    <w:rsid w:val="3BC7214B"/>
    <w:rsid w:val="3BC741E0"/>
    <w:rsid w:val="3BC90495"/>
    <w:rsid w:val="3BC907C3"/>
    <w:rsid w:val="3BC94324"/>
    <w:rsid w:val="3BD553B9"/>
    <w:rsid w:val="3BE34BF5"/>
    <w:rsid w:val="3BE41DD7"/>
    <w:rsid w:val="3BED44B1"/>
    <w:rsid w:val="3BF25525"/>
    <w:rsid w:val="3BF375EE"/>
    <w:rsid w:val="3BF70E8C"/>
    <w:rsid w:val="3BF73E1F"/>
    <w:rsid w:val="3BF770DE"/>
    <w:rsid w:val="3BF82E56"/>
    <w:rsid w:val="3BFF41E4"/>
    <w:rsid w:val="3C080167"/>
    <w:rsid w:val="3C090BBF"/>
    <w:rsid w:val="3C096E11"/>
    <w:rsid w:val="3C0B2B89"/>
    <w:rsid w:val="3C0B4937"/>
    <w:rsid w:val="3C0D4B53"/>
    <w:rsid w:val="3C1D1056"/>
    <w:rsid w:val="3C221C81"/>
    <w:rsid w:val="3C2F4241"/>
    <w:rsid w:val="3C334BE9"/>
    <w:rsid w:val="3C463CAB"/>
    <w:rsid w:val="3C4F58BE"/>
    <w:rsid w:val="3C5462DE"/>
    <w:rsid w:val="3C591B47"/>
    <w:rsid w:val="3C6B187A"/>
    <w:rsid w:val="3C760E8E"/>
    <w:rsid w:val="3C81109D"/>
    <w:rsid w:val="3C940DD1"/>
    <w:rsid w:val="3C9E1C4F"/>
    <w:rsid w:val="3CB04C94"/>
    <w:rsid w:val="3CBE19AA"/>
    <w:rsid w:val="3CC84E2B"/>
    <w:rsid w:val="3CCA4EE7"/>
    <w:rsid w:val="3CCD78C1"/>
    <w:rsid w:val="3CDC62D4"/>
    <w:rsid w:val="3CE33C48"/>
    <w:rsid w:val="3CE60333"/>
    <w:rsid w:val="3CF47AC1"/>
    <w:rsid w:val="3CF8135F"/>
    <w:rsid w:val="3D115F7D"/>
    <w:rsid w:val="3D284219"/>
    <w:rsid w:val="3D31661F"/>
    <w:rsid w:val="3D361E88"/>
    <w:rsid w:val="3D37515A"/>
    <w:rsid w:val="3D3D4FC4"/>
    <w:rsid w:val="3D3E3679"/>
    <w:rsid w:val="3D4C3459"/>
    <w:rsid w:val="3D51236B"/>
    <w:rsid w:val="3D531F2C"/>
    <w:rsid w:val="3D6650D7"/>
    <w:rsid w:val="3D6B74A3"/>
    <w:rsid w:val="3D75360D"/>
    <w:rsid w:val="3D87623F"/>
    <w:rsid w:val="3D8B3570"/>
    <w:rsid w:val="3D9E3EFC"/>
    <w:rsid w:val="3DA52CA7"/>
    <w:rsid w:val="3DA77592"/>
    <w:rsid w:val="3DAE2AEB"/>
    <w:rsid w:val="3DBD4357"/>
    <w:rsid w:val="3DCB25D0"/>
    <w:rsid w:val="3DCD744E"/>
    <w:rsid w:val="3DD82F3F"/>
    <w:rsid w:val="3DDC2A2F"/>
    <w:rsid w:val="3DDD67A7"/>
    <w:rsid w:val="3DE77A65"/>
    <w:rsid w:val="3DEB7040"/>
    <w:rsid w:val="3DEC2546"/>
    <w:rsid w:val="3DEE2762"/>
    <w:rsid w:val="3DEE706C"/>
    <w:rsid w:val="3E045AE2"/>
    <w:rsid w:val="3E0930F8"/>
    <w:rsid w:val="3E0C0289"/>
    <w:rsid w:val="3E0C2BE9"/>
    <w:rsid w:val="3E111FAD"/>
    <w:rsid w:val="3E131818"/>
    <w:rsid w:val="3E192ED0"/>
    <w:rsid w:val="3E23065E"/>
    <w:rsid w:val="3E281B9E"/>
    <w:rsid w:val="3E342D63"/>
    <w:rsid w:val="3E39070E"/>
    <w:rsid w:val="3E46434D"/>
    <w:rsid w:val="3E546A69"/>
    <w:rsid w:val="3E567816"/>
    <w:rsid w:val="3E595E2E"/>
    <w:rsid w:val="3E726EF0"/>
    <w:rsid w:val="3E7B428B"/>
    <w:rsid w:val="3E842C37"/>
    <w:rsid w:val="3E8C606D"/>
    <w:rsid w:val="3E946E66"/>
    <w:rsid w:val="3E976956"/>
    <w:rsid w:val="3E9C3F6D"/>
    <w:rsid w:val="3EA11583"/>
    <w:rsid w:val="3EA3354D"/>
    <w:rsid w:val="3EA51073"/>
    <w:rsid w:val="3EB36D77"/>
    <w:rsid w:val="3EB4772B"/>
    <w:rsid w:val="3EC11C25"/>
    <w:rsid w:val="3EC3774B"/>
    <w:rsid w:val="3ECB4852"/>
    <w:rsid w:val="3EE14075"/>
    <w:rsid w:val="3EE651E8"/>
    <w:rsid w:val="3EED042A"/>
    <w:rsid w:val="3EF67217"/>
    <w:rsid w:val="3F067638"/>
    <w:rsid w:val="3F094541"/>
    <w:rsid w:val="3F0F2990"/>
    <w:rsid w:val="3F161F71"/>
    <w:rsid w:val="3F1F2FE0"/>
    <w:rsid w:val="3F2E1041"/>
    <w:rsid w:val="3F433C48"/>
    <w:rsid w:val="3F4343E8"/>
    <w:rsid w:val="3F4563B2"/>
    <w:rsid w:val="3F4A5777"/>
    <w:rsid w:val="3F4E5250"/>
    <w:rsid w:val="3F512D6E"/>
    <w:rsid w:val="3F6604A8"/>
    <w:rsid w:val="3F6A5E19"/>
    <w:rsid w:val="3F6E5CC0"/>
    <w:rsid w:val="3F746C97"/>
    <w:rsid w:val="3F7940E7"/>
    <w:rsid w:val="3F7942AE"/>
    <w:rsid w:val="3F9166D5"/>
    <w:rsid w:val="3F963B73"/>
    <w:rsid w:val="3FA07723"/>
    <w:rsid w:val="3FA441C0"/>
    <w:rsid w:val="3FB86017"/>
    <w:rsid w:val="3FB86B84"/>
    <w:rsid w:val="3FC90D91"/>
    <w:rsid w:val="3FCE45FA"/>
    <w:rsid w:val="3FDA2F9E"/>
    <w:rsid w:val="3FDB2164"/>
    <w:rsid w:val="3FE112A8"/>
    <w:rsid w:val="3FE1555E"/>
    <w:rsid w:val="3FE47979"/>
    <w:rsid w:val="3FE90DE6"/>
    <w:rsid w:val="40063D93"/>
    <w:rsid w:val="400B3158"/>
    <w:rsid w:val="400C105D"/>
    <w:rsid w:val="40161AFD"/>
    <w:rsid w:val="402B55A8"/>
    <w:rsid w:val="40375844"/>
    <w:rsid w:val="403F72A5"/>
    <w:rsid w:val="40463B9A"/>
    <w:rsid w:val="40480AB8"/>
    <w:rsid w:val="404A50C1"/>
    <w:rsid w:val="40556AC9"/>
    <w:rsid w:val="40642868"/>
    <w:rsid w:val="407A208B"/>
    <w:rsid w:val="408F1FDB"/>
    <w:rsid w:val="40984D90"/>
    <w:rsid w:val="40A01949"/>
    <w:rsid w:val="40A23390"/>
    <w:rsid w:val="40A25721"/>
    <w:rsid w:val="40A315E2"/>
    <w:rsid w:val="40A62E81"/>
    <w:rsid w:val="40BE256F"/>
    <w:rsid w:val="40C557DD"/>
    <w:rsid w:val="40D7128C"/>
    <w:rsid w:val="40D71D36"/>
    <w:rsid w:val="40DF25DF"/>
    <w:rsid w:val="40ED4F53"/>
    <w:rsid w:val="40F55BB6"/>
    <w:rsid w:val="40F711C5"/>
    <w:rsid w:val="40F73EE1"/>
    <w:rsid w:val="40F770CB"/>
    <w:rsid w:val="41020261"/>
    <w:rsid w:val="410B7187"/>
    <w:rsid w:val="41160006"/>
    <w:rsid w:val="41175B2C"/>
    <w:rsid w:val="4128023D"/>
    <w:rsid w:val="412A43BD"/>
    <w:rsid w:val="414E5C54"/>
    <w:rsid w:val="41601281"/>
    <w:rsid w:val="41614028"/>
    <w:rsid w:val="41634231"/>
    <w:rsid w:val="417244FB"/>
    <w:rsid w:val="41794840"/>
    <w:rsid w:val="417B60BB"/>
    <w:rsid w:val="417C1E33"/>
    <w:rsid w:val="417E204F"/>
    <w:rsid w:val="418331C2"/>
    <w:rsid w:val="419312EC"/>
    <w:rsid w:val="41991E3A"/>
    <w:rsid w:val="419E7FFC"/>
    <w:rsid w:val="41AA074E"/>
    <w:rsid w:val="41B31CF9"/>
    <w:rsid w:val="41BF3102"/>
    <w:rsid w:val="41C8461F"/>
    <w:rsid w:val="41C932CA"/>
    <w:rsid w:val="41CE03A5"/>
    <w:rsid w:val="41D81760"/>
    <w:rsid w:val="41DB1ABF"/>
    <w:rsid w:val="41DD0B24"/>
    <w:rsid w:val="41DF54AD"/>
    <w:rsid w:val="41E53E7C"/>
    <w:rsid w:val="41E9571B"/>
    <w:rsid w:val="41EC0D67"/>
    <w:rsid w:val="41F7084B"/>
    <w:rsid w:val="420460B1"/>
    <w:rsid w:val="420640DE"/>
    <w:rsid w:val="42145B74"/>
    <w:rsid w:val="421502BE"/>
    <w:rsid w:val="421B4417"/>
    <w:rsid w:val="424010B3"/>
    <w:rsid w:val="4247415C"/>
    <w:rsid w:val="42563BA8"/>
    <w:rsid w:val="426E3E72"/>
    <w:rsid w:val="426E4CA0"/>
    <w:rsid w:val="428639CB"/>
    <w:rsid w:val="42917A31"/>
    <w:rsid w:val="42980EEF"/>
    <w:rsid w:val="42A038DB"/>
    <w:rsid w:val="42B1658F"/>
    <w:rsid w:val="42B23D5F"/>
    <w:rsid w:val="42BC4BDD"/>
    <w:rsid w:val="42C70692"/>
    <w:rsid w:val="42C95873"/>
    <w:rsid w:val="42CB3072"/>
    <w:rsid w:val="42D31018"/>
    <w:rsid w:val="42DC702D"/>
    <w:rsid w:val="42DF267A"/>
    <w:rsid w:val="42EC127F"/>
    <w:rsid w:val="42ED0852"/>
    <w:rsid w:val="42F8373B"/>
    <w:rsid w:val="42FC76D0"/>
    <w:rsid w:val="43010842"/>
    <w:rsid w:val="430345BA"/>
    <w:rsid w:val="43120CA1"/>
    <w:rsid w:val="431B5DA8"/>
    <w:rsid w:val="431C1B20"/>
    <w:rsid w:val="431C567C"/>
    <w:rsid w:val="432D2A58"/>
    <w:rsid w:val="434824AA"/>
    <w:rsid w:val="43492123"/>
    <w:rsid w:val="43497BF6"/>
    <w:rsid w:val="43617533"/>
    <w:rsid w:val="436B215F"/>
    <w:rsid w:val="436F1C50"/>
    <w:rsid w:val="4374370A"/>
    <w:rsid w:val="437454B8"/>
    <w:rsid w:val="43770B04"/>
    <w:rsid w:val="439261AA"/>
    <w:rsid w:val="43963680"/>
    <w:rsid w:val="43993627"/>
    <w:rsid w:val="43BB4E95"/>
    <w:rsid w:val="43BD6E5F"/>
    <w:rsid w:val="43BF2BD7"/>
    <w:rsid w:val="43D85A47"/>
    <w:rsid w:val="43DE02CA"/>
    <w:rsid w:val="43EC14F2"/>
    <w:rsid w:val="43F108B7"/>
    <w:rsid w:val="43F16B09"/>
    <w:rsid w:val="43F56B9E"/>
    <w:rsid w:val="43F82973"/>
    <w:rsid w:val="43F84EA0"/>
    <w:rsid w:val="43FA13F0"/>
    <w:rsid w:val="43FA4F00"/>
    <w:rsid w:val="44024872"/>
    <w:rsid w:val="440A2559"/>
    <w:rsid w:val="440E1469"/>
    <w:rsid w:val="44184095"/>
    <w:rsid w:val="44223166"/>
    <w:rsid w:val="44224F14"/>
    <w:rsid w:val="44307631"/>
    <w:rsid w:val="4436451B"/>
    <w:rsid w:val="4463098C"/>
    <w:rsid w:val="447A08AC"/>
    <w:rsid w:val="44832EEB"/>
    <w:rsid w:val="44867251"/>
    <w:rsid w:val="44895C89"/>
    <w:rsid w:val="449977C9"/>
    <w:rsid w:val="44A04BC6"/>
    <w:rsid w:val="44A45929"/>
    <w:rsid w:val="44AE49FA"/>
    <w:rsid w:val="44BE0773"/>
    <w:rsid w:val="44CD30D2"/>
    <w:rsid w:val="44DA57EF"/>
    <w:rsid w:val="44E6758D"/>
    <w:rsid w:val="44E72281"/>
    <w:rsid w:val="44E95A32"/>
    <w:rsid w:val="44E977E0"/>
    <w:rsid w:val="44F468B0"/>
    <w:rsid w:val="4501181A"/>
    <w:rsid w:val="45102FBE"/>
    <w:rsid w:val="45196317"/>
    <w:rsid w:val="45256299"/>
    <w:rsid w:val="45280308"/>
    <w:rsid w:val="453204B8"/>
    <w:rsid w:val="453C0257"/>
    <w:rsid w:val="4541404C"/>
    <w:rsid w:val="45581E87"/>
    <w:rsid w:val="456674E7"/>
    <w:rsid w:val="456A6B72"/>
    <w:rsid w:val="45763B74"/>
    <w:rsid w:val="457B2921"/>
    <w:rsid w:val="45831470"/>
    <w:rsid w:val="45853989"/>
    <w:rsid w:val="45863F92"/>
    <w:rsid w:val="45943BE9"/>
    <w:rsid w:val="459736E0"/>
    <w:rsid w:val="45997458"/>
    <w:rsid w:val="45A96212"/>
    <w:rsid w:val="45AB2CE7"/>
    <w:rsid w:val="45B24076"/>
    <w:rsid w:val="45BB09D5"/>
    <w:rsid w:val="45C22969"/>
    <w:rsid w:val="45D30657"/>
    <w:rsid w:val="45D40490"/>
    <w:rsid w:val="45D73ADC"/>
    <w:rsid w:val="45E06BE8"/>
    <w:rsid w:val="45E71F71"/>
    <w:rsid w:val="460A3EB2"/>
    <w:rsid w:val="460E7851"/>
    <w:rsid w:val="461276B2"/>
    <w:rsid w:val="4614787A"/>
    <w:rsid w:val="461641B4"/>
    <w:rsid w:val="46173C0B"/>
    <w:rsid w:val="46195EA3"/>
    <w:rsid w:val="462F6C98"/>
    <w:rsid w:val="463D1E48"/>
    <w:rsid w:val="46431172"/>
    <w:rsid w:val="464A3349"/>
    <w:rsid w:val="465B295F"/>
    <w:rsid w:val="465F5FAB"/>
    <w:rsid w:val="466727DF"/>
    <w:rsid w:val="4674757D"/>
    <w:rsid w:val="467B20E5"/>
    <w:rsid w:val="468E4AE3"/>
    <w:rsid w:val="469A5235"/>
    <w:rsid w:val="46AE6BDD"/>
    <w:rsid w:val="46B812C9"/>
    <w:rsid w:val="46BB20A7"/>
    <w:rsid w:val="46C71DA3"/>
    <w:rsid w:val="46D544C0"/>
    <w:rsid w:val="46DC3AA0"/>
    <w:rsid w:val="46DE4183"/>
    <w:rsid w:val="46E526FC"/>
    <w:rsid w:val="46F27655"/>
    <w:rsid w:val="46FD7634"/>
    <w:rsid w:val="47084895"/>
    <w:rsid w:val="470D3C07"/>
    <w:rsid w:val="47165296"/>
    <w:rsid w:val="471A6376"/>
    <w:rsid w:val="471A7DE3"/>
    <w:rsid w:val="471F1BDF"/>
    <w:rsid w:val="471F573B"/>
    <w:rsid w:val="47244600"/>
    <w:rsid w:val="472471F5"/>
    <w:rsid w:val="47264D1B"/>
    <w:rsid w:val="47290367"/>
    <w:rsid w:val="4732546E"/>
    <w:rsid w:val="473A142D"/>
    <w:rsid w:val="473D3E13"/>
    <w:rsid w:val="47574ED5"/>
    <w:rsid w:val="475B28E5"/>
    <w:rsid w:val="476364D9"/>
    <w:rsid w:val="47671669"/>
    <w:rsid w:val="47721D0E"/>
    <w:rsid w:val="47737835"/>
    <w:rsid w:val="477A6E15"/>
    <w:rsid w:val="477B2F78"/>
    <w:rsid w:val="47863A0C"/>
    <w:rsid w:val="478F0B12"/>
    <w:rsid w:val="478F1DEA"/>
    <w:rsid w:val="47971775"/>
    <w:rsid w:val="47A91814"/>
    <w:rsid w:val="47AD2D46"/>
    <w:rsid w:val="47B0777B"/>
    <w:rsid w:val="47B215B1"/>
    <w:rsid w:val="47B578F4"/>
    <w:rsid w:val="47BA4EF0"/>
    <w:rsid w:val="47BE6D02"/>
    <w:rsid w:val="47CC70B6"/>
    <w:rsid w:val="47CF1EDB"/>
    <w:rsid w:val="47D55B94"/>
    <w:rsid w:val="47D97FDF"/>
    <w:rsid w:val="47E04ECA"/>
    <w:rsid w:val="47E10C42"/>
    <w:rsid w:val="47E744AA"/>
    <w:rsid w:val="47F24BFD"/>
    <w:rsid w:val="47F941DE"/>
    <w:rsid w:val="47FB1D04"/>
    <w:rsid w:val="47FC782A"/>
    <w:rsid w:val="48077256"/>
    <w:rsid w:val="48164D90"/>
    <w:rsid w:val="48205C0E"/>
    <w:rsid w:val="48221986"/>
    <w:rsid w:val="483B2A48"/>
    <w:rsid w:val="484216E1"/>
    <w:rsid w:val="484679FE"/>
    <w:rsid w:val="4867383D"/>
    <w:rsid w:val="487A531F"/>
    <w:rsid w:val="48855A71"/>
    <w:rsid w:val="488856DF"/>
    <w:rsid w:val="48895562"/>
    <w:rsid w:val="488F069E"/>
    <w:rsid w:val="489F49DA"/>
    <w:rsid w:val="48A678EC"/>
    <w:rsid w:val="48AB372A"/>
    <w:rsid w:val="48C43C04"/>
    <w:rsid w:val="48D72771"/>
    <w:rsid w:val="48DB6E75"/>
    <w:rsid w:val="48EB7098"/>
    <w:rsid w:val="48F52BF7"/>
    <w:rsid w:val="48F86677"/>
    <w:rsid w:val="48FD4E24"/>
    <w:rsid w:val="49221512"/>
    <w:rsid w:val="49230E88"/>
    <w:rsid w:val="493279A7"/>
    <w:rsid w:val="49352975"/>
    <w:rsid w:val="493B7AC6"/>
    <w:rsid w:val="493D4DF4"/>
    <w:rsid w:val="493D7DAC"/>
    <w:rsid w:val="493F3E72"/>
    <w:rsid w:val="496008C3"/>
    <w:rsid w:val="496352DD"/>
    <w:rsid w:val="49647D7D"/>
    <w:rsid w:val="49722404"/>
    <w:rsid w:val="497A134E"/>
    <w:rsid w:val="49836818"/>
    <w:rsid w:val="49852229"/>
    <w:rsid w:val="49882C8A"/>
    <w:rsid w:val="49920446"/>
    <w:rsid w:val="49926698"/>
    <w:rsid w:val="49993C1A"/>
    <w:rsid w:val="499F2D2A"/>
    <w:rsid w:val="49A11AA5"/>
    <w:rsid w:val="49AD1724"/>
    <w:rsid w:val="49AD4172"/>
    <w:rsid w:val="49B900C8"/>
    <w:rsid w:val="49BD2395"/>
    <w:rsid w:val="49C10D2B"/>
    <w:rsid w:val="49CC7DFC"/>
    <w:rsid w:val="49D17D67"/>
    <w:rsid w:val="49D7054F"/>
    <w:rsid w:val="49D964B5"/>
    <w:rsid w:val="4A084BAC"/>
    <w:rsid w:val="4A084FAB"/>
    <w:rsid w:val="4A08695A"/>
    <w:rsid w:val="4A0D21C2"/>
    <w:rsid w:val="4A2D016F"/>
    <w:rsid w:val="4A2E5638"/>
    <w:rsid w:val="4A2F3EE7"/>
    <w:rsid w:val="4A322F17"/>
    <w:rsid w:val="4A496867"/>
    <w:rsid w:val="4A597A29"/>
    <w:rsid w:val="4A5B1180"/>
    <w:rsid w:val="4A600544"/>
    <w:rsid w:val="4A6022F2"/>
    <w:rsid w:val="4A783AE0"/>
    <w:rsid w:val="4A7A1473"/>
    <w:rsid w:val="4A835FE1"/>
    <w:rsid w:val="4A8835F7"/>
    <w:rsid w:val="4A981A8C"/>
    <w:rsid w:val="4A9A4942"/>
    <w:rsid w:val="4AA3061E"/>
    <w:rsid w:val="4AA85A47"/>
    <w:rsid w:val="4AB31C56"/>
    <w:rsid w:val="4AB443EC"/>
    <w:rsid w:val="4AB50890"/>
    <w:rsid w:val="4AB61896"/>
    <w:rsid w:val="4AC07235"/>
    <w:rsid w:val="4AC24D5B"/>
    <w:rsid w:val="4AF018C8"/>
    <w:rsid w:val="4AFB201B"/>
    <w:rsid w:val="4B074D0A"/>
    <w:rsid w:val="4B101F6A"/>
    <w:rsid w:val="4B154719"/>
    <w:rsid w:val="4B180E1F"/>
    <w:rsid w:val="4B181D66"/>
    <w:rsid w:val="4B182BCD"/>
    <w:rsid w:val="4B1B446B"/>
    <w:rsid w:val="4B1D0ADA"/>
    <w:rsid w:val="4B1F5D09"/>
    <w:rsid w:val="4B306168"/>
    <w:rsid w:val="4B307F16"/>
    <w:rsid w:val="4B427C4A"/>
    <w:rsid w:val="4B486B05"/>
    <w:rsid w:val="4B591497"/>
    <w:rsid w:val="4B5A0C77"/>
    <w:rsid w:val="4B5D4A84"/>
    <w:rsid w:val="4B5F25AA"/>
    <w:rsid w:val="4B6317D9"/>
    <w:rsid w:val="4B643898"/>
    <w:rsid w:val="4B647BC0"/>
    <w:rsid w:val="4B6E6C91"/>
    <w:rsid w:val="4B756271"/>
    <w:rsid w:val="4B8136EF"/>
    <w:rsid w:val="4B814C16"/>
    <w:rsid w:val="4B840262"/>
    <w:rsid w:val="4B8D25CA"/>
    <w:rsid w:val="4B935BD3"/>
    <w:rsid w:val="4B9E1324"/>
    <w:rsid w:val="4B9F32EE"/>
    <w:rsid w:val="4B9F6E4A"/>
    <w:rsid w:val="4BB01057"/>
    <w:rsid w:val="4BB950FE"/>
    <w:rsid w:val="4BDA32CC"/>
    <w:rsid w:val="4BE17F2B"/>
    <w:rsid w:val="4BE8259F"/>
    <w:rsid w:val="4BF031FE"/>
    <w:rsid w:val="4C03387D"/>
    <w:rsid w:val="4C0628C9"/>
    <w:rsid w:val="4C196BFC"/>
    <w:rsid w:val="4C237321"/>
    <w:rsid w:val="4C2832E3"/>
    <w:rsid w:val="4C2A0E0A"/>
    <w:rsid w:val="4C2A705C"/>
    <w:rsid w:val="4C324162"/>
    <w:rsid w:val="4C60482B"/>
    <w:rsid w:val="4C63256E"/>
    <w:rsid w:val="4C715932"/>
    <w:rsid w:val="4C7326BF"/>
    <w:rsid w:val="4C870569"/>
    <w:rsid w:val="4C8C5620"/>
    <w:rsid w:val="4CAD2D73"/>
    <w:rsid w:val="4CAF57B3"/>
    <w:rsid w:val="4CB03673"/>
    <w:rsid w:val="4CB91FEF"/>
    <w:rsid w:val="4CBD7ED0"/>
    <w:rsid w:val="4CBE1552"/>
    <w:rsid w:val="4CC748AA"/>
    <w:rsid w:val="4CCF0F43"/>
    <w:rsid w:val="4CD15729"/>
    <w:rsid w:val="4CD34FFD"/>
    <w:rsid w:val="4CD64AED"/>
    <w:rsid w:val="4CDA1D50"/>
    <w:rsid w:val="4CDD5E7C"/>
    <w:rsid w:val="4CE53B05"/>
    <w:rsid w:val="4CEA7E6E"/>
    <w:rsid w:val="4CF51418"/>
    <w:rsid w:val="4CF66F3E"/>
    <w:rsid w:val="4CFD02CC"/>
    <w:rsid w:val="4D010CD4"/>
    <w:rsid w:val="4D01600E"/>
    <w:rsid w:val="4D036A69"/>
    <w:rsid w:val="4D04165B"/>
    <w:rsid w:val="4D0E5E2F"/>
    <w:rsid w:val="4D1A0E7E"/>
    <w:rsid w:val="4D1A2C2C"/>
    <w:rsid w:val="4D2717ED"/>
    <w:rsid w:val="4D4128AF"/>
    <w:rsid w:val="4D496D8C"/>
    <w:rsid w:val="4D530B01"/>
    <w:rsid w:val="4D583754"/>
    <w:rsid w:val="4D5F7DDE"/>
    <w:rsid w:val="4D63385B"/>
    <w:rsid w:val="4D7553C0"/>
    <w:rsid w:val="4D7565F5"/>
    <w:rsid w:val="4D7A36CB"/>
    <w:rsid w:val="4D8012E0"/>
    <w:rsid w:val="4D8207D1"/>
    <w:rsid w:val="4D8664B2"/>
    <w:rsid w:val="4D866514"/>
    <w:rsid w:val="4D9660D0"/>
    <w:rsid w:val="4D993FA2"/>
    <w:rsid w:val="4D9D7C50"/>
    <w:rsid w:val="4DA150FB"/>
    <w:rsid w:val="4DA36463"/>
    <w:rsid w:val="4DA644C0"/>
    <w:rsid w:val="4DAE3854"/>
    <w:rsid w:val="4DB9631E"/>
    <w:rsid w:val="4DBB6B81"/>
    <w:rsid w:val="4DC64B62"/>
    <w:rsid w:val="4DDE00FE"/>
    <w:rsid w:val="4DE02688"/>
    <w:rsid w:val="4DE3726E"/>
    <w:rsid w:val="4DEC306A"/>
    <w:rsid w:val="4DF112C3"/>
    <w:rsid w:val="4E10646B"/>
    <w:rsid w:val="4E157897"/>
    <w:rsid w:val="4E181EAC"/>
    <w:rsid w:val="4E267BB2"/>
    <w:rsid w:val="4E2F0959"/>
    <w:rsid w:val="4E455429"/>
    <w:rsid w:val="4E477054"/>
    <w:rsid w:val="4E483909"/>
    <w:rsid w:val="4E496E89"/>
    <w:rsid w:val="4E4D0DDF"/>
    <w:rsid w:val="4E674056"/>
    <w:rsid w:val="4E6F2008"/>
    <w:rsid w:val="4E7520E4"/>
    <w:rsid w:val="4E782474"/>
    <w:rsid w:val="4E7B30A1"/>
    <w:rsid w:val="4E834801"/>
    <w:rsid w:val="4E9764FE"/>
    <w:rsid w:val="4E9B1ACC"/>
    <w:rsid w:val="4E9B29F1"/>
    <w:rsid w:val="4EA21FBC"/>
    <w:rsid w:val="4EA45C08"/>
    <w:rsid w:val="4EC233BC"/>
    <w:rsid w:val="4EC5306C"/>
    <w:rsid w:val="4ED44A37"/>
    <w:rsid w:val="4EE01C53"/>
    <w:rsid w:val="4EE5726A"/>
    <w:rsid w:val="4EEC05F8"/>
    <w:rsid w:val="4EF219BE"/>
    <w:rsid w:val="4EF83EB8"/>
    <w:rsid w:val="4EFD6A3E"/>
    <w:rsid w:val="4F0F2590"/>
    <w:rsid w:val="4F0F2921"/>
    <w:rsid w:val="4F135B85"/>
    <w:rsid w:val="4F253B0A"/>
    <w:rsid w:val="4F337745"/>
    <w:rsid w:val="4F381A8F"/>
    <w:rsid w:val="4F3D2C02"/>
    <w:rsid w:val="4F412B89"/>
    <w:rsid w:val="4F4D6551"/>
    <w:rsid w:val="4F4E4E0F"/>
    <w:rsid w:val="4F530677"/>
    <w:rsid w:val="4F555807"/>
    <w:rsid w:val="4F5B752C"/>
    <w:rsid w:val="4F611A8D"/>
    <w:rsid w:val="4F6529B8"/>
    <w:rsid w:val="4F711953"/>
    <w:rsid w:val="4F7B197C"/>
    <w:rsid w:val="4F8371CF"/>
    <w:rsid w:val="4F8F2527"/>
    <w:rsid w:val="4F9111A0"/>
    <w:rsid w:val="4F934F18"/>
    <w:rsid w:val="4F960564"/>
    <w:rsid w:val="4FA067AE"/>
    <w:rsid w:val="4FA4282D"/>
    <w:rsid w:val="4FA531B7"/>
    <w:rsid w:val="4FA62E9D"/>
    <w:rsid w:val="4FA64C4B"/>
    <w:rsid w:val="4FB26C3E"/>
    <w:rsid w:val="4FB31116"/>
    <w:rsid w:val="4FBF5D0D"/>
    <w:rsid w:val="4FCC21D8"/>
    <w:rsid w:val="4FCE5F50"/>
    <w:rsid w:val="4FD01CC8"/>
    <w:rsid w:val="4FDE24B2"/>
    <w:rsid w:val="4FE439C5"/>
    <w:rsid w:val="4FEA26A0"/>
    <w:rsid w:val="4FEB08B0"/>
    <w:rsid w:val="500E352C"/>
    <w:rsid w:val="501047BA"/>
    <w:rsid w:val="50125E3D"/>
    <w:rsid w:val="502004C0"/>
    <w:rsid w:val="503937A4"/>
    <w:rsid w:val="503D4825"/>
    <w:rsid w:val="504B134F"/>
    <w:rsid w:val="504D3214"/>
    <w:rsid w:val="505E2C74"/>
    <w:rsid w:val="50680152"/>
    <w:rsid w:val="50692491"/>
    <w:rsid w:val="506A5C79"/>
    <w:rsid w:val="5086682B"/>
    <w:rsid w:val="508D7BB9"/>
    <w:rsid w:val="5099655E"/>
    <w:rsid w:val="509B0528"/>
    <w:rsid w:val="509B6464"/>
    <w:rsid w:val="509C60D9"/>
    <w:rsid w:val="50AB551F"/>
    <w:rsid w:val="50B11AF9"/>
    <w:rsid w:val="50B52C6C"/>
    <w:rsid w:val="50B769E4"/>
    <w:rsid w:val="50BE2FD2"/>
    <w:rsid w:val="50C03AEB"/>
    <w:rsid w:val="50C24148"/>
    <w:rsid w:val="50C67109"/>
    <w:rsid w:val="50C67709"/>
    <w:rsid w:val="50C80BF1"/>
    <w:rsid w:val="50CD6207"/>
    <w:rsid w:val="50CE25A9"/>
    <w:rsid w:val="50D21915"/>
    <w:rsid w:val="50DB6B76"/>
    <w:rsid w:val="50DC644B"/>
    <w:rsid w:val="50E517A3"/>
    <w:rsid w:val="50E579F5"/>
    <w:rsid w:val="50EC0D83"/>
    <w:rsid w:val="50EC2B32"/>
    <w:rsid w:val="50F41D39"/>
    <w:rsid w:val="51010442"/>
    <w:rsid w:val="51145BE4"/>
    <w:rsid w:val="5119144D"/>
    <w:rsid w:val="5124794A"/>
    <w:rsid w:val="513242BC"/>
    <w:rsid w:val="51345856"/>
    <w:rsid w:val="51366528"/>
    <w:rsid w:val="513B3F9B"/>
    <w:rsid w:val="513C13C8"/>
    <w:rsid w:val="514B3CFC"/>
    <w:rsid w:val="51504573"/>
    <w:rsid w:val="515267A7"/>
    <w:rsid w:val="5156444F"/>
    <w:rsid w:val="515D3A2F"/>
    <w:rsid w:val="515F6A4E"/>
    <w:rsid w:val="516C5A20"/>
    <w:rsid w:val="518B5782"/>
    <w:rsid w:val="519024AA"/>
    <w:rsid w:val="519A7A59"/>
    <w:rsid w:val="51A451BA"/>
    <w:rsid w:val="51AA5546"/>
    <w:rsid w:val="51B3375C"/>
    <w:rsid w:val="51CC64BF"/>
    <w:rsid w:val="51CD4892"/>
    <w:rsid w:val="51EB07B5"/>
    <w:rsid w:val="51EE2928"/>
    <w:rsid w:val="51F31067"/>
    <w:rsid w:val="52043EAB"/>
    <w:rsid w:val="52075749"/>
    <w:rsid w:val="521F0CE5"/>
    <w:rsid w:val="52230C53"/>
    <w:rsid w:val="522D6CD3"/>
    <w:rsid w:val="523830D8"/>
    <w:rsid w:val="523A78CD"/>
    <w:rsid w:val="52412A09"/>
    <w:rsid w:val="524531ED"/>
    <w:rsid w:val="52466271"/>
    <w:rsid w:val="52495D62"/>
    <w:rsid w:val="525070F0"/>
    <w:rsid w:val="52546BE0"/>
    <w:rsid w:val="525953CC"/>
    <w:rsid w:val="526606C2"/>
    <w:rsid w:val="526A57BF"/>
    <w:rsid w:val="52720E14"/>
    <w:rsid w:val="527E6CE5"/>
    <w:rsid w:val="528254B1"/>
    <w:rsid w:val="5285323E"/>
    <w:rsid w:val="529363EE"/>
    <w:rsid w:val="52A336C4"/>
    <w:rsid w:val="52B753C1"/>
    <w:rsid w:val="52BA36C1"/>
    <w:rsid w:val="52C6768C"/>
    <w:rsid w:val="52CD6993"/>
    <w:rsid w:val="52E2739F"/>
    <w:rsid w:val="52E66EA1"/>
    <w:rsid w:val="52EF6909"/>
    <w:rsid w:val="52F65EE9"/>
    <w:rsid w:val="52F718F1"/>
    <w:rsid w:val="53017CCF"/>
    <w:rsid w:val="530535C9"/>
    <w:rsid w:val="53063916"/>
    <w:rsid w:val="53076CE7"/>
    <w:rsid w:val="530879CB"/>
    <w:rsid w:val="530A54F1"/>
    <w:rsid w:val="531215C4"/>
    <w:rsid w:val="531225F7"/>
    <w:rsid w:val="531910E2"/>
    <w:rsid w:val="5325039B"/>
    <w:rsid w:val="53253ACD"/>
    <w:rsid w:val="532F7B40"/>
    <w:rsid w:val="533030B9"/>
    <w:rsid w:val="53312A7E"/>
    <w:rsid w:val="533816D3"/>
    <w:rsid w:val="534F73A8"/>
    <w:rsid w:val="53536E98"/>
    <w:rsid w:val="53591FD4"/>
    <w:rsid w:val="537F5EDF"/>
    <w:rsid w:val="538E77F3"/>
    <w:rsid w:val="539070E0"/>
    <w:rsid w:val="53915C12"/>
    <w:rsid w:val="53965083"/>
    <w:rsid w:val="539906E6"/>
    <w:rsid w:val="539D0113"/>
    <w:rsid w:val="53A018B8"/>
    <w:rsid w:val="53A05E55"/>
    <w:rsid w:val="53A83B6F"/>
    <w:rsid w:val="53AE0572"/>
    <w:rsid w:val="53C75190"/>
    <w:rsid w:val="53C953AC"/>
    <w:rsid w:val="53D8114B"/>
    <w:rsid w:val="53E34DA9"/>
    <w:rsid w:val="53E421E6"/>
    <w:rsid w:val="53EC0065"/>
    <w:rsid w:val="53F87AA7"/>
    <w:rsid w:val="53FF0DCE"/>
    <w:rsid w:val="54031F5E"/>
    <w:rsid w:val="540957A8"/>
    <w:rsid w:val="541555B5"/>
    <w:rsid w:val="5417546D"/>
    <w:rsid w:val="543547EF"/>
    <w:rsid w:val="54492049"/>
    <w:rsid w:val="54515F7D"/>
    <w:rsid w:val="54534C76"/>
    <w:rsid w:val="545B4AB0"/>
    <w:rsid w:val="545D78A2"/>
    <w:rsid w:val="546624D4"/>
    <w:rsid w:val="546649A9"/>
    <w:rsid w:val="54705828"/>
    <w:rsid w:val="5479292E"/>
    <w:rsid w:val="547B3B75"/>
    <w:rsid w:val="54977258"/>
    <w:rsid w:val="549C516E"/>
    <w:rsid w:val="54A52898"/>
    <w:rsid w:val="54A83213"/>
    <w:rsid w:val="54AD2CEE"/>
    <w:rsid w:val="54AE00FE"/>
    <w:rsid w:val="54BB55F2"/>
    <w:rsid w:val="54BE2A37"/>
    <w:rsid w:val="54BF230B"/>
    <w:rsid w:val="54C16083"/>
    <w:rsid w:val="54C81A27"/>
    <w:rsid w:val="551E5CEB"/>
    <w:rsid w:val="55204DD9"/>
    <w:rsid w:val="55322ADD"/>
    <w:rsid w:val="55326F81"/>
    <w:rsid w:val="55480552"/>
    <w:rsid w:val="554A42CB"/>
    <w:rsid w:val="55537708"/>
    <w:rsid w:val="55540CA5"/>
    <w:rsid w:val="555962BC"/>
    <w:rsid w:val="555D5DAC"/>
    <w:rsid w:val="55654C60"/>
    <w:rsid w:val="55741347"/>
    <w:rsid w:val="557650C0"/>
    <w:rsid w:val="55775D97"/>
    <w:rsid w:val="55780E38"/>
    <w:rsid w:val="557C634E"/>
    <w:rsid w:val="558B0ED4"/>
    <w:rsid w:val="559F5786"/>
    <w:rsid w:val="55A559A5"/>
    <w:rsid w:val="55BB0D24"/>
    <w:rsid w:val="55C20305"/>
    <w:rsid w:val="55C5184A"/>
    <w:rsid w:val="55CA71B9"/>
    <w:rsid w:val="55D9C0BB"/>
    <w:rsid w:val="55E02539"/>
    <w:rsid w:val="55EE4C56"/>
    <w:rsid w:val="56072347"/>
    <w:rsid w:val="56220DA3"/>
    <w:rsid w:val="562E1532"/>
    <w:rsid w:val="56352885"/>
    <w:rsid w:val="563857D0"/>
    <w:rsid w:val="56496330"/>
    <w:rsid w:val="564F1C40"/>
    <w:rsid w:val="56505911"/>
    <w:rsid w:val="56564DAC"/>
    <w:rsid w:val="56567336"/>
    <w:rsid w:val="566273F2"/>
    <w:rsid w:val="566D0271"/>
    <w:rsid w:val="566E223B"/>
    <w:rsid w:val="567171B5"/>
    <w:rsid w:val="567710EF"/>
    <w:rsid w:val="568109EE"/>
    <w:rsid w:val="56837A94"/>
    <w:rsid w:val="568630E0"/>
    <w:rsid w:val="56876E58"/>
    <w:rsid w:val="569177AA"/>
    <w:rsid w:val="569533E6"/>
    <w:rsid w:val="569972B8"/>
    <w:rsid w:val="569F41A2"/>
    <w:rsid w:val="56A17F1A"/>
    <w:rsid w:val="56A87127"/>
    <w:rsid w:val="56AF0889"/>
    <w:rsid w:val="56B04601"/>
    <w:rsid w:val="56B328D8"/>
    <w:rsid w:val="56B51C18"/>
    <w:rsid w:val="56BA0F55"/>
    <w:rsid w:val="56C43C09"/>
    <w:rsid w:val="56D025AE"/>
    <w:rsid w:val="56D71380"/>
    <w:rsid w:val="56ED2BA5"/>
    <w:rsid w:val="56F02C50"/>
    <w:rsid w:val="56FD5B67"/>
    <w:rsid w:val="57060E24"/>
    <w:rsid w:val="57154464"/>
    <w:rsid w:val="572221F2"/>
    <w:rsid w:val="57256D9D"/>
    <w:rsid w:val="5732516C"/>
    <w:rsid w:val="57346FE0"/>
    <w:rsid w:val="573F208A"/>
    <w:rsid w:val="574134AB"/>
    <w:rsid w:val="57445916"/>
    <w:rsid w:val="574647BD"/>
    <w:rsid w:val="57557AD4"/>
    <w:rsid w:val="57572241"/>
    <w:rsid w:val="57633422"/>
    <w:rsid w:val="5769771B"/>
    <w:rsid w:val="576F09D8"/>
    <w:rsid w:val="57730079"/>
    <w:rsid w:val="5775558A"/>
    <w:rsid w:val="57875362"/>
    <w:rsid w:val="578E7BF9"/>
    <w:rsid w:val="57971106"/>
    <w:rsid w:val="579B036C"/>
    <w:rsid w:val="579D204B"/>
    <w:rsid w:val="57A852D8"/>
    <w:rsid w:val="57AD439B"/>
    <w:rsid w:val="57AF1DD5"/>
    <w:rsid w:val="57AF48B9"/>
    <w:rsid w:val="57B03C29"/>
    <w:rsid w:val="57BC7607"/>
    <w:rsid w:val="57BE4E14"/>
    <w:rsid w:val="57C66DE1"/>
    <w:rsid w:val="57D47F15"/>
    <w:rsid w:val="57D91936"/>
    <w:rsid w:val="57DF519E"/>
    <w:rsid w:val="57DF5E85"/>
    <w:rsid w:val="57E722A5"/>
    <w:rsid w:val="57F14ED1"/>
    <w:rsid w:val="57F549C2"/>
    <w:rsid w:val="5802772F"/>
    <w:rsid w:val="580764A3"/>
    <w:rsid w:val="58164938"/>
    <w:rsid w:val="5818245E"/>
    <w:rsid w:val="582109F9"/>
    <w:rsid w:val="58244743"/>
    <w:rsid w:val="583D1EC5"/>
    <w:rsid w:val="585B059D"/>
    <w:rsid w:val="585B62F1"/>
    <w:rsid w:val="585C67EF"/>
    <w:rsid w:val="58676F42"/>
    <w:rsid w:val="5875165E"/>
    <w:rsid w:val="5875340D"/>
    <w:rsid w:val="587873A1"/>
    <w:rsid w:val="587A4EC7"/>
    <w:rsid w:val="58807673"/>
    <w:rsid w:val="588418A2"/>
    <w:rsid w:val="5895585D"/>
    <w:rsid w:val="589812B0"/>
    <w:rsid w:val="5898534D"/>
    <w:rsid w:val="58A44388"/>
    <w:rsid w:val="58C040B1"/>
    <w:rsid w:val="58C36A96"/>
    <w:rsid w:val="58C94894"/>
    <w:rsid w:val="58DB174D"/>
    <w:rsid w:val="58EB36CF"/>
    <w:rsid w:val="58ED5699"/>
    <w:rsid w:val="58F5279F"/>
    <w:rsid w:val="58F9403E"/>
    <w:rsid w:val="58FF717A"/>
    <w:rsid w:val="590C0B28"/>
    <w:rsid w:val="591C6E00"/>
    <w:rsid w:val="591E3AA4"/>
    <w:rsid w:val="591F15CA"/>
    <w:rsid w:val="59232453"/>
    <w:rsid w:val="59383C00"/>
    <w:rsid w:val="593C58AA"/>
    <w:rsid w:val="59463974"/>
    <w:rsid w:val="5952374E"/>
    <w:rsid w:val="595E6596"/>
    <w:rsid w:val="59621151"/>
    <w:rsid w:val="59701809"/>
    <w:rsid w:val="59702A48"/>
    <w:rsid w:val="597436C4"/>
    <w:rsid w:val="59757257"/>
    <w:rsid w:val="598002BB"/>
    <w:rsid w:val="59934216"/>
    <w:rsid w:val="59A321FB"/>
    <w:rsid w:val="59A41A58"/>
    <w:rsid w:val="59AA1151"/>
    <w:rsid w:val="59AC10B0"/>
    <w:rsid w:val="59AE125A"/>
    <w:rsid w:val="59B241EC"/>
    <w:rsid w:val="59B366A7"/>
    <w:rsid w:val="59B9557B"/>
    <w:rsid w:val="59BE7035"/>
    <w:rsid w:val="59CC52CE"/>
    <w:rsid w:val="59CE54CA"/>
    <w:rsid w:val="59D6612D"/>
    <w:rsid w:val="59DF3F2F"/>
    <w:rsid w:val="59DF4B89"/>
    <w:rsid w:val="59EB6F2A"/>
    <w:rsid w:val="59EC20D1"/>
    <w:rsid w:val="5A0507C0"/>
    <w:rsid w:val="5A0E3B19"/>
    <w:rsid w:val="5A160C1F"/>
    <w:rsid w:val="5A173A60"/>
    <w:rsid w:val="5A310538"/>
    <w:rsid w:val="5A315A59"/>
    <w:rsid w:val="5A3966BC"/>
    <w:rsid w:val="5A3B3AE0"/>
    <w:rsid w:val="5A494B51"/>
    <w:rsid w:val="5A495B4C"/>
    <w:rsid w:val="5A521F3B"/>
    <w:rsid w:val="5A5B4884"/>
    <w:rsid w:val="5A5F6DB8"/>
    <w:rsid w:val="5A637C74"/>
    <w:rsid w:val="5A6428E9"/>
    <w:rsid w:val="5A6B5F04"/>
    <w:rsid w:val="5A6C4E4F"/>
    <w:rsid w:val="5A7804DD"/>
    <w:rsid w:val="5A821E11"/>
    <w:rsid w:val="5A8913F1"/>
    <w:rsid w:val="5AA02643"/>
    <w:rsid w:val="5AA65D31"/>
    <w:rsid w:val="5AB32912"/>
    <w:rsid w:val="5AC756FD"/>
    <w:rsid w:val="5ACB1F51"/>
    <w:rsid w:val="5ADD6744"/>
    <w:rsid w:val="5AE20B01"/>
    <w:rsid w:val="5AEC7244"/>
    <w:rsid w:val="5AF32F02"/>
    <w:rsid w:val="5AF92D52"/>
    <w:rsid w:val="5AF96577"/>
    <w:rsid w:val="5AFC6067"/>
    <w:rsid w:val="5AFC7E15"/>
    <w:rsid w:val="5B157129"/>
    <w:rsid w:val="5B1E7D8B"/>
    <w:rsid w:val="5B212551"/>
    <w:rsid w:val="5B321A89"/>
    <w:rsid w:val="5B394BC5"/>
    <w:rsid w:val="5B435A44"/>
    <w:rsid w:val="5B636B42"/>
    <w:rsid w:val="5B694D7F"/>
    <w:rsid w:val="5B6D7F83"/>
    <w:rsid w:val="5B8F47E5"/>
    <w:rsid w:val="5BAA161F"/>
    <w:rsid w:val="5BAB4129"/>
    <w:rsid w:val="5BB222FF"/>
    <w:rsid w:val="5BC87CF7"/>
    <w:rsid w:val="5BC92058"/>
    <w:rsid w:val="5BCF7B70"/>
    <w:rsid w:val="5BD41F23"/>
    <w:rsid w:val="5BE54630"/>
    <w:rsid w:val="5BF3356C"/>
    <w:rsid w:val="5BF5FE5D"/>
    <w:rsid w:val="5C003935"/>
    <w:rsid w:val="5C0A0310"/>
    <w:rsid w:val="5C1473E0"/>
    <w:rsid w:val="5C194C9F"/>
    <w:rsid w:val="5C225659"/>
    <w:rsid w:val="5C2B76EA"/>
    <w:rsid w:val="5C370D46"/>
    <w:rsid w:val="5C423F4D"/>
    <w:rsid w:val="5C44530A"/>
    <w:rsid w:val="5C4750C0"/>
    <w:rsid w:val="5C4C6B7A"/>
    <w:rsid w:val="5C4D6ED9"/>
    <w:rsid w:val="5C5B0CAD"/>
    <w:rsid w:val="5C5F68AD"/>
    <w:rsid w:val="5C735EB5"/>
    <w:rsid w:val="5C790656"/>
    <w:rsid w:val="5C8246EF"/>
    <w:rsid w:val="5C9522CF"/>
    <w:rsid w:val="5C997D5D"/>
    <w:rsid w:val="5C9E1840"/>
    <w:rsid w:val="5CB345BC"/>
    <w:rsid w:val="5CC11316"/>
    <w:rsid w:val="5CC52C6A"/>
    <w:rsid w:val="5CCB3F43"/>
    <w:rsid w:val="5CCE2BCF"/>
    <w:rsid w:val="5CDA0C29"/>
    <w:rsid w:val="5CDA5AF0"/>
    <w:rsid w:val="5CDC6150"/>
    <w:rsid w:val="5CEE19DF"/>
    <w:rsid w:val="5CFD1C22"/>
    <w:rsid w:val="5D011713"/>
    <w:rsid w:val="5D086F45"/>
    <w:rsid w:val="5D30024A"/>
    <w:rsid w:val="5D301FF8"/>
    <w:rsid w:val="5D3212A7"/>
    <w:rsid w:val="5D3970FE"/>
    <w:rsid w:val="5D3B1D4C"/>
    <w:rsid w:val="5D404410"/>
    <w:rsid w:val="5D4635C9"/>
    <w:rsid w:val="5D4F49A8"/>
    <w:rsid w:val="5D683540"/>
    <w:rsid w:val="5D700646"/>
    <w:rsid w:val="5D845EA0"/>
    <w:rsid w:val="5D861A04"/>
    <w:rsid w:val="5D9E1657"/>
    <w:rsid w:val="5DA26940"/>
    <w:rsid w:val="5DA34F62"/>
    <w:rsid w:val="5DB42C29"/>
    <w:rsid w:val="5DBD5527"/>
    <w:rsid w:val="5DD80B1A"/>
    <w:rsid w:val="5DDC08FA"/>
    <w:rsid w:val="5DE3507A"/>
    <w:rsid w:val="5DE35D38"/>
    <w:rsid w:val="5DE8594A"/>
    <w:rsid w:val="5DF70D68"/>
    <w:rsid w:val="5DF8595F"/>
    <w:rsid w:val="5E015742"/>
    <w:rsid w:val="5E0448CF"/>
    <w:rsid w:val="5E053485"/>
    <w:rsid w:val="5E084D23"/>
    <w:rsid w:val="5E0B668E"/>
    <w:rsid w:val="5E316028"/>
    <w:rsid w:val="5E35548F"/>
    <w:rsid w:val="5E3D4F56"/>
    <w:rsid w:val="5E3E44F8"/>
    <w:rsid w:val="5E471BEC"/>
    <w:rsid w:val="5E4C5624"/>
    <w:rsid w:val="5E4F0935"/>
    <w:rsid w:val="5E563CE0"/>
    <w:rsid w:val="5E60690D"/>
    <w:rsid w:val="5E790148"/>
    <w:rsid w:val="5E79177D"/>
    <w:rsid w:val="5E8E6FD6"/>
    <w:rsid w:val="5E990FD6"/>
    <w:rsid w:val="5E9B16F3"/>
    <w:rsid w:val="5EA42C9D"/>
    <w:rsid w:val="5EAD1F27"/>
    <w:rsid w:val="5EAE2963"/>
    <w:rsid w:val="5EB872A7"/>
    <w:rsid w:val="5EBA3E0E"/>
    <w:rsid w:val="5ECA1FD8"/>
    <w:rsid w:val="5ED03116"/>
    <w:rsid w:val="5ED82947"/>
    <w:rsid w:val="5EE66C00"/>
    <w:rsid w:val="5EE70DDC"/>
    <w:rsid w:val="5EF3367B"/>
    <w:rsid w:val="5F000D0C"/>
    <w:rsid w:val="5F0454EA"/>
    <w:rsid w:val="5F0B2B69"/>
    <w:rsid w:val="5F0C417B"/>
    <w:rsid w:val="5F130763"/>
    <w:rsid w:val="5F170CEB"/>
    <w:rsid w:val="5F177AAC"/>
    <w:rsid w:val="5F1D035A"/>
    <w:rsid w:val="5F2142EE"/>
    <w:rsid w:val="5F22307A"/>
    <w:rsid w:val="5F257E78"/>
    <w:rsid w:val="5F2931A3"/>
    <w:rsid w:val="5F2E2567"/>
    <w:rsid w:val="5F2F74DC"/>
    <w:rsid w:val="5F36228D"/>
    <w:rsid w:val="5F38023A"/>
    <w:rsid w:val="5F3D1841"/>
    <w:rsid w:val="5F4C7363"/>
    <w:rsid w:val="5F6661A5"/>
    <w:rsid w:val="5F681F1D"/>
    <w:rsid w:val="5F6E6E00"/>
    <w:rsid w:val="5F700DD2"/>
    <w:rsid w:val="5F742670"/>
    <w:rsid w:val="5F772160"/>
    <w:rsid w:val="5F7A1C50"/>
    <w:rsid w:val="5F7C7E44"/>
    <w:rsid w:val="5F7F133B"/>
    <w:rsid w:val="5F887EC9"/>
    <w:rsid w:val="5F8E2943"/>
    <w:rsid w:val="5F8E6793"/>
    <w:rsid w:val="5F942228"/>
    <w:rsid w:val="5FA016B7"/>
    <w:rsid w:val="5FA97E40"/>
    <w:rsid w:val="5FAD5B82"/>
    <w:rsid w:val="5FB32A6C"/>
    <w:rsid w:val="5FBD66BA"/>
    <w:rsid w:val="5FC811A9"/>
    <w:rsid w:val="5FDA449D"/>
    <w:rsid w:val="5FDE5D3B"/>
    <w:rsid w:val="5FE01A64"/>
    <w:rsid w:val="5FEC70B4"/>
    <w:rsid w:val="5FEF4243"/>
    <w:rsid w:val="5FF0513B"/>
    <w:rsid w:val="5FF53085"/>
    <w:rsid w:val="5FFF5CB2"/>
    <w:rsid w:val="600518E1"/>
    <w:rsid w:val="600734E4"/>
    <w:rsid w:val="600C32B1"/>
    <w:rsid w:val="600F2399"/>
    <w:rsid w:val="60243DB0"/>
    <w:rsid w:val="60285208"/>
    <w:rsid w:val="602A0F80"/>
    <w:rsid w:val="60310561"/>
    <w:rsid w:val="60357B02"/>
    <w:rsid w:val="603E00CB"/>
    <w:rsid w:val="60583D40"/>
    <w:rsid w:val="605C4EB2"/>
    <w:rsid w:val="605C616D"/>
    <w:rsid w:val="606D54B2"/>
    <w:rsid w:val="606D76F6"/>
    <w:rsid w:val="606F2E37"/>
    <w:rsid w:val="60701025"/>
    <w:rsid w:val="607E2E3B"/>
    <w:rsid w:val="608138B7"/>
    <w:rsid w:val="608826B5"/>
    <w:rsid w:val="6090532E"/>
    <w:rsid w:val="60980E01"/>
    <w:rsid w:val="609949AD"/>
    <w:rsid w:val="60A354A0"/>
    <w:rsid w:val="60BD2EDF"/>
    <w:rsid w:val="60C10DE4"/>
    <w:rsid w:val="60C72C73"/>
    <w:rsid w:val="60CC4D2E"/>
    <w:rsid w:val="60D13AF2"/>
    <w:rsid w:val="60D908EE"/>
    <w:rsid w:val="60E03830"/>
    <w:rsid w:val="60E76E71"/>
    <w:rsid w:val="60EC26DA"/>
    <w:rsid w:val="60EC4488"/>
    <w:rsid w:val="60F11A9E"/>
    <w:rsid w:val="61061D24"/>
    <w:rsid w:val="61066EF1"/>
    <w:rsid w:val="610856C0"/>
    <w:rsid w:val="610C0EEA"/>
    <w:rsid w:val="61120392"/>
    <w:rsid w:val="6113543C"/>
    <w:rsid w:val="61241E74"/>
    <w:rsid w:val="613227E3"/>
    <w:rsid w:val="61476C21"/>
    <w:rsid w:val="61560D45"/>
    <w:rsid w:val="616C5DC7"/>
    <w:rsid w:val="61730705"/>
    <w:rsid w:val="61832B49"/>
    <w:rsid w:val="61882403"/>
    <w:rsid w:val="61895878"/>
    <w:rsid w:val="61903065"/>
    <w:rsid w:val="61A60ADB"/>
    <w:rsid w:val="61C471B3"/>
    <w:rsid w:val="61D636AE"/>
    <w:rsid w:val="61D9296B"/>
    <w:rsid w:val="61EB0BE3"/>
    <w:rsid w:val="61F730E4"/>
    <w:rsid w:val="61FC694D"/>
    <w:rsid w:val="62037CDB"/>
    <w:rsid w:val="620D6DAC"/>
    <w:rsid w:val="62234311"/>
    <w:rsid w:val="622F0AD0"/>
    <w:rsid w:val="623000AB"/>
    <w:rsid w:val="623460E6"/>
    <w:rsid w:val="62373E29"/>
    <w:rsid w:val="62465E1A"/>
    <w:rsid w:val="6248078E"/>
    <w:rsid w:val="624F4CCE"/>
    <w:rsid w:val="62570027"/>
    <w:rsid w:val="626314C5"/>
    <w:rsid w:val="62774225"/>
    <w:rsid w:val="62782477"/>
    <w:rsid w:val="62875F02"/>
    <w:rsid w:val="628A10A1"/>
    <w:rsid w:val="62A50D92"/>
    <w:rsid w:val="62A76AE3"/>
    <w:rsid w:val="62AC2121"/>
    <w:rsid w:val="62AE5E99"/>
    <w:rsid w:val="62D13935"/>
    <w:rsid w:val="62DE42A4"/>
    <w:rsid w:val="62EF64B1"/>
    <w:rsid w:val="62F6339C"/>
    <w:rsid w:val="630B03ED"/>
    <w:rsid w:val="63201BC3"/>
    <w:rsid w:val="632048BD"/>
    <w:rsid w:val="63253C81"/>
    <w:rsid w:val="63275C4B"/>
    <w:rsid w:val="633839B4"/>
    <w:rsid w:val="634671A9"/>
    <w:rsid w:val="63483D52"/>
    <w:rsid w:val="634C3904"/>
    <w:rsid w:val="634D7439"/>
    <w:rsid w:val="63573608"/>
    <w:rsid w:val="635C4E31"/>
    <w:rsid w:val="635D166D"/>
    <w:rsid w:val="636548B5"/>
    <w:rsid w:val="637C256D"/>
    <w:rsid w:val="637C3BA1"/>
    <w:rsid w:val="637C7D45"/>
    <w:rsid w:val="637E0CDE"/>
    <w:rsid w:val="638E7A78"/>
    <w:rsid w:val="63935C7A"/>
    <w:rsid w:val="63A72698"/>
    <w:rsid w:val="63AC7EFE"/>
    <w:rsid w:val="63B23767"/>
    <w:rsid w:val="63BC6393"/>
    <w:rsid w:val="63C11031"/>
    <w:rsid w:val="63C74D38"/>
    <w:rsid w:val="63E266D5"/>
    <w:rsid w:val="63E765F8"/>
    <w:rsid w:val="63EA5906"/>
    <w:rsid w:val="63EF777B"/>
    <w:rsid w:val="63FB5E8D"/>
    <w:rsid w:val="63FE69AC"/>
    <w:rsid w:val="64086C94"/>
    <w:rsid w:val="640B2E77"/>
    <w:rsid w:val="6418591E"/>
    <w:rsid w:val="641D1CAF"/>
    <w:rsid w:val="64211D91"/>
    <w:rsid w:val="64264155"/>
    <w:rsid w:val="64267CB1"/>
    <w:rsid w:val="64524F4A"/>
    <w:rsid w:val="64545399"/>
    <w:rsid w:val="64550596"/>
    <w:rsid w:val="645B3DFE"/>
    <w:rsid w:val="6468651B"/>
    <w:rsid w:val="646D58E0"/>
    <w:rsid w:val="64790728"/>
    <w:rsid w:val="647C691A"/>
    <w:rsid w:val="64900A89"/>
    <w:rsid w:val="64B82FFF"/>
    <w:rsid w:val="64B96D77"/>
    <w:rsid w:val="64C376A4"/>
    <w:rsid w:val="64C37BF6"/>
    <w:rsid w:val="64C64FF0"/>
    <w:rsid w:val="64CE5958"/>
    <w:rsid w:val="64DB6F4A"/>
    <w:rsid w:val="64EB4334"/>
    <w:rsid w:val="64EE4C72"/>
    <w:rsid w:val="64F97173"/>
    <w:rsid w:val="64FD4EB5"/>
    <w:rsid w:val="652341F0"/>
    <w:rsid w:val="652A1A23"/>
    <w:rsid w:val="6531690D"/>
    <w:rsid w:val="653308D7"/>
    <w:rsid w:val="6551116A"/>
    <w:rsid w:val="65556AA0"/>
    <w:rsid w:val="65586590"/>
    <w:rsid w:val="656147FC"/>
    <w:rsid w:val="65652A5B"/>
    <w:rsid w:val="65654809"/>
    <w:rsid w:val="656F3CFB"/>
    <w:rsid w:val="65784102"/>
    <w:rsid w:val="657D546C"/>
    <w:rsid w:val="658273F8"/>
    <w:rsid w:val="658E5B0E"/>
    <w:rsid w:val="659068F4"/>
    <w:rsid w:val="659724A9"/>
    <w:rsid w:val="65A73073"/>
    <w:rsid w:val="65A90B99"/>
    <w:rsid w:val="65B14641"/>
    <w:rsid w:val="65B66C75"/>
    <w:rsid w:val="65CF01C3"/>
    <w:rsid w:val="65D36098"/>
    <w:rsid w:val="65D6784D"/>
    <w:rsid w:val="65DA21B8"/>
    <w:rsid w:val="65DA6FA5"/>
    <w:rsid w:val="65E118E9"/>
    <w:rsid w:val="65F23446"/>
    <w:rsid w:val="65F242EE"/>
    <w:rsid w:val="65FB6C67"/>
    <w:rsid w:val="660177F8"/>
    <w:rsid w:val="66086500"/>
    <w:rsid w:val="661204ED"/>
    <w:rsid w:val="66140709"/>
    <w:rsid w:val="661D3B41"/>
    <w:rsid w:val="66203684"/>
    <w:rsid w:val="663A3EE7"/>
    <w:rsid w:val="663C1A0D"/>
    <w:rsid w:val="663C1E11"/>
    <w:rsid w:val="66486604"/>
    <w:rsid w:val="664A412A"/>
    <w:rsid w:val="664D7777"/>
    <w:rsid w:val="665729FA"/>
    <w:rsid w:val="665A537B"/>
    <w:rsid w:val="66652D12"/>
    <w:rsid w:val="6670008E"/>
    <w:rsid w:val="66740B9D"/>
    <w:rsid w:val="66824763"/>
    <w:rsid w:val="668441F3"/>
    <w:rsid w:val="669730E8"/>
    <w:rsid w:val="66B27F22"/>
    <w:rsid w:val="66B77136"/>
    <w:rsid w:val="66BC66AA"/>
    <w:rsid w:val="66BD63CD"/>
    <w:rsid w:val="66C34AB0"/>
    <w:rsid w:val="66C37A39"/>
    <w:rsid w:val="66DB4D83"/>
    <w:rsid w:val="66E005EB"/>
    <w:rsid w:val="66E30152"/>
    <w:rsid w:val="66FD20AD"/>
    <w:rsid w:val="66FE6CC3"/>
    <w:rsid w:val="66FF5DA8"/>
    <w:rsid w:val="670A38BA"/>
    <w:rsid w:val="670D1E38"/>
    <w:rsid w:val="6712276E"/>
    <w:rsid w:val="671C3FB3"/>
    <w:rsid w:val="672524A2"/>
    <w:rsid w:val="67283D40"/>
    <w:rsid w:val="6732696D"/>
    <w:rsid w:val="673F17B5"/>
    <w:rsid w:val="674444CE"/>
    <w:rsid w:val="67445133"/>
    <w:rsid w:val="6760797E"/>
    <w:rsid w:val="677156E7"/>
    <w:rsid w:val="67801DCE"/>
    <w:rsid w:val="678569DF"/>
    <w:rsid w:val="6787202D"/>
    <w:rsid w:val="6787315C"/>
    <w:rsid w:val="678C0773"/>
    <w:rsid w:val="679215D2"/>
    <w:rsid w:val="67933AC9"/>
    <w:rsid w:val="679E2C42"/>
    <w:rsid w:val="67AA71CD"/>
    <w:rsid w:val="67B101D9"/>
    <w:rsid w:val="67B7549A"/>
    <w:rsid w:val="67C16AE4"/>
    <w:rsid w:val="67C55ED8"/>
    <w:rsid w:val="67CA2EF6"/>
    <w:rsid w:val="67D973BA"/>
    <w:rsid w:val="67DA14DE"/>
    <w:rsid w:val="67E81B8F"/>
    <w:rsid w:val="67EB7247"/>
    <w:rsid w:val="67F32E86"/>
    <w:rsid w:val="68091DC3"/>
    <w:rsid w:val="680B5B3B"/>
    <w:rsid w:val="680D401D"/>
    <w:rsid w:val="680E0EA3"/>
    <w:rsid w:val="68157592"/>
    <w:rsid w:val="68165D32"/>
    <w:rsid w:val="681F2214"/>
    <w:rsid w:val="68210EBB"/>
    <w:rsid w:val="68246BFD"/>
    <w:rsid w:val="682477DF"/>
    <w:rsid w:val="6838089E"/>
    <w:rsid w:val="68476448"/>
    <w:rsid w:val="685C6397"/>
    <w:rsid w:val="686B0388"/>
    <w:rsid w:val="686E36E9"/>
    <w:rsid w:val="68725BBA"/>
    <w:rsid w:val="6888217A"/>
    <w:rsid w:val="688B4586"/>
    <w:rsid w:val="689C2C37"/>
    <w:rsid w:val="68A2104D"/>
    <w:rsid w:val="68A564EF"/>
    <w:rsid w:val="68AA4C85"/>
    <w:rsid w:val="68AE0416"/>
    <w:rsid w:val="68B852C3"/>
    <w:rsid w:val="68BB30BE"/>
    <w:rsid w:val="68C1269E"/>
    <w:rsid w:val="68D74CF7"/>
    <w:rsid w:val="68E5013A"/>
    <w:rsid w:val="68E7396A"/>
    <w:rsid w:val="68EC771B"/>
    <w:rsid w:val="68F55EA4"/>
    <w:rsid w:val="68F929A7"/>
    <w:rsid w:val="68F93287"/>
    <w:rsid w:val="68FD36D6"/>
    <w:rsid w:val="690031C6"/>
    <w:rsid w:val="69054339"/>
    <w:rsid w:val="6908207B"/>
    <w:rsid w:val="69185D7B"/>
    <w:rsid w:val="691B47B7"/>
    <w:rsid w:val="69244FE9"/>
    <w:rsid w:val="69392234"/>
    <w:rsid w:val="693D1D24"/>
    <w:rsid w:val="694035C3"/>
    <w:rsid w:val="6954706E"/>
    <w:rsid w:val="69557528"/>
    <w:rsid w:val="6956324A"/>
    <w:rsid w:val="69586B5E"/>
    <w:rsid w:val="695F613F"/>
    <w:rsid w:val="697B396F"/>
    <w:rsid w:val="69825989"/>
    <w:rsid w:val="698A0CE2"/>
    <w:rsid w:val="69A2132F"/>
    <w:rsid w:val="69A753F0"/>
    <w:rsid w:val="69C203B7"/>
    <w:rsid w:val="69C56F4A"/>
    <w:rsid w:val="69CC12FA"/>
    <w:rsid w:val="69CE6E20"/>
    <w:rsid w:val="69D56C11"/>
    <w:rsid w:val="69DE1004"/>
    <w:rsid w:val="69EE1271"/>
    <w:rsid w:val="69F85C4B"/>
    <w:rsid w:val="69FE6E0B"/>
    <w:rsid w:val="6A080007"/>
    <w:rsid w:val="6A0B407D"/>
    <w:rsid w:val="6A1231B1"/>
    <w:rsid w:val="6A244C92"/>
    <w:rsid w:val="6A266C5C"/>
    <w:rsid w:val="6A2E3D63"/>
    <w:rsid w:val="6A3273AF"/>
    <w:rsid w:val="6A413A96"/>
    <w:rsid w:val="6A425588"/>
    <w:rsid w:val="6A446FAF"/>
    <w:rsid w:val="6A471B63"/>
    <w:rsid w:val="6A5437CA"/>
    <w:rsid w:val="6A5D01A4"/>
    <w:rsid w:val="6A5D0610"/>
    <w:rsid w:val="6A5E42A5"/>
    <w:rsid w:val="6A6E23B2"/>
    <w:rsid w:val="6A7F0363"/>
    <w:rsid w:val="6A837C0B"/>
    <w:rsid w:val="6A8631D0"/>
    <w:rsid w:val="6AA22005"/>
    <w:rsid w:val="6AA55C6C"/>
    <w:rsid w:val="6ABE50E7"/>
    <w:rsid w:val="6AC30685"/>
    <w:rsid w:val="6AC326FD"/>
    <w:rsid w:val="6AC56475"/>
    <w:rsid w:val="6AC63F9C"/>
    <w:rsid w:val="6ACD0E86"/>
    <w:rsid w:val="6AD22940"/>
    <w:rsid w:val="6AED1528"/>
    <w:rsid w:val="6AF208ED"/>
    <w:rsid w:val="6AF503DD"/>
    <w:rsid w:val="6B0625EA"/>
    <w:rsid w:val="6B0B19AE"/>
    <w:rsid w:val="6B0C69B1"/>
    <w:rsid w:val="6B1029C3"/>
    <w:rsid w:val="6B122264"/>
    <w:rsid w:val="6B15282D"/>
    <w:rsid w:val="6B1B6095"/>
    <w:rsid w:val="6B3874BC"/>
    <w:rsid w:val="6B421874"/>
    <w:rsid w:val="6B4227D3"/>
    <w:rsid w:val="6B593504"/>
    <w:rsid w:val="6B5D0502"/>
    <w:rsid w:val="6B735ED1"/>
    <w:rsid w:val="6B7632CC"/>
    <w:rsid w:val="6B7D64E9"/>
    <w:rsid w:val="6B8E381B"/>
    <w:rsid w:val="6B907067"/>
    <w:rsid w:val="6B917B86"/>
    <w:rsid w:val="6B9F6CC6"/>
    <w:rsid w:val="6BA047ED"/>
    <w:rsid w:val="6BA6556B"/>
    <w:rsid w:val="6BA73DCD"/>
    <w:rsid w:val="6BB34520"/>
    <w:rsid w:val="6BC172F1"/>
    <w:rsid w:val="6BCE135A"/>
    <w:rsid w:val="6BF41C96"/>
    <w:rsid w:val="6BF57A97"/>
    <w:rsid w:val="6BF608B1"/>
    <w:rsid w:val="6C0404C6"/>
    <w:rsid w:val="6C0E79A8"/>
    <w:rsid w:val="6C136D6D"/>
    <w:rsid w:val="6C152AE5"/>
    <w:rsid w:val="6C172D01"/>
    <w:rsid w:val="6C2A3FFF"/>
    <w:rsid w:val="6C3A254B"/>
    <w:rsid w:val="6C465394"/>
    <w:rsid w:val="6C51676E"/>
    <w:rsid w:val="6C5630FD"/>
    <w:rsid w:val="6C5C0714"/>
    <w:rsid w:val="6C627CF4"/>
    <w:rsid w:val="6C6E0447"/>
    <w:rsid w:val="6C772B2A"/>
    <w:rsid w:val="6C813F79"/>
    <w:rsid w:val="6C850C61"/>
    <w:rsid w:val="6CA57F05"/>
    <w:rsid w:val="6CA64C88"/>
    <w:rsid w:val="6CA95923"/>
    <w:rsid w:val="6CAD71C1"/>
    <w:rsid w:val="6CAF118B"/>
    <w:rsid w:val="6CB56076"/>
    <w:rsid w:val="6CB70040"/>
    <w:rsid w:val="6CC55569"/>
    <w:rsid w:val="6CC8224D"/>
    <w:rsid w:val="6CCE7008"/>
    <w:rsid w:val="6CE60925"/>
    <w:rsid w:val="6CEA1781"/>
    <w:rsid w:val="6CED1CB3"/>
    <w:rsid w:val="6CF703D0"/>
    <w:rsid w:val="6CF7308E"/>
    <w:rsid w:val="6D0938B4"/>
    <w:rsid w:val="6D143EE3"/>
    <w:rsid w:val="6D14690C"/>
    <w:rsid w:val="6D1E3C1B"/>
    <w:rsid w:val="6D2154B9"/>
    <w:rsid w:val="6D261430"/>
    <w:rsid w:val="6D2B6338"/>
    <w:rsid w:val="6D2D20B0"/>
    <w:rsid w:val="6D2E0C32"/>
    <w:rsid w:val="6D3A5930"/>
    <w:rsid w:val="6D3E3C6F"/>
    <w:rsid w:val="6D4C69DA"/>
    <w:rsid w:val="6D505D9E"/>
    <w:rsid w:val="6D582FC7"/>
    <w:rsid w:val="6D595A0C"/>
    <w:rsid w:val="6D5D0BE7"/>
    <w:rsid w:val="6D65548A"/>
    <w:rsid w:val="6D695A57"/>
    <w:rsid w:val="6D77157D"/>
    <w:rsid w:val="6D794294"/>
    <w:rsid w:val="6D8310B6"/>
    <w:rsid w:val="6D9B170F"/>
    <w:rsid w:val="6DA34120"/>
    <w:rsid w:val="6DA5433C"/>
    <w:rsid w:val="6DA700B4"/>
    <w:rsid w:val="6DB14A8F"/>
    <w:rsid w:val="6DB703FB"/>
    <w:rsid w:val="6DBD46F3"/>
    <w:rsid w:val="6DD60A04"/>
    <w:rsid w:val="6DE209ED"/>
    <w:rsid w:val="6DE20FD6"/>
    <w:rsid w:val="6DE36C13"/>
    <w:rsid w:val="6DFD489E"/>
    <w:rsid w:val="6DFE6642"/>
    <w:rsid w:val="6E032E11"/>
    <w:rsid w:val="6E0A3A5A"/>
    <w:rsid w:val="6E0E0133"/>
    <w:rsid w:val="6E164FB2"/>
    <w:rsid w:val="6E240780"/>
    <w:rsid w:val="6E330B6A"/>
    <w:rsid w:val="6E3A0F28"/>
    <w:rsid w:val="6E4B317D"/>
    <w:rsid w:val="6E4C2A0A"/>
    <w:rsid w:val="6E6E0BD2"/>
    <w:rsid w:val="6E6E2980"/>
    <w:rsid w:val="6E7518D4"/>
    <w:rsid w:val="6E874A93"/>
    <w:rsid w:val="6E895A0C"/>
    <w:rsid w:val="6E930639"/>
    <w:rsid w:val="6E956D75"/>
    <w:rsid w:val="6E965398"/>
    <w:rsid w:val="6EA208FC"/>
    <w:rsid w:val="6EA6036C"/>
    <w:rsid w:val="6EB335A5"/>
    <w:rsid w:val="6EBF142E"/>
    <w:rsid w:val="6ECD2B05"/>
    <w:rsid w:val="6ECE52CF"/>
    <w:rsid w:val="6ED053E9"/>
    <w:rsid w:val="6ED77628"/>
    <w:rsid w:val="6EF83687"/>
    <w:rsid w:val="6EFC40AD"/>
    <w:rsid w:val="6EFE463E"/>
    <w:rsid w:val="6F062BB9"/>
    <w:rsid w:val="6F0D03EB"/>
    <w:rsid w:val="6F0F080D"/>
    <w:rsid w:val="6F165F8F"/>
    <w:rsid w:val="6F1C7A8B"/>
    <w:rsid w:val="6F1E6C76"/>
    <w:rsid w:val="6F1F6CEC"/>
    <w:rsid w:val="6F241291"/>
    <w:rsid w:val="6F2600F2"/>
    <w:rsid w:val="6F3C482C"/>
    <w:rsid w:val="6F3D0837"/>
    <w:rsid w:val="6F467459"/>
    <w:rsid w:val="6F4A1673"/>
    <w:rsid w:val="6F4A3F3C"/>
    <w:rsid w:val="6F543924"/>
    <w:rsid w:val="6F651FD5"/>
    <w:rsid w:val="6F667AFB"/>
    <w:rsid w:val="6F667DD0"/>
    <w:rsid w:val="6F6D0E8A"/>
    <w:rsid w:val="6F751AEC"/>
    <w:rsid w:val="6F7F24A1"/>
    <w:rsid w:val="6F8B6E64"/>
    <w:rsid w:val="6F906926"/>
    <w:rsid w:val="6F92269E"/>
    <w:rsid w:val="6F9957DB"/>
    <w:rsid w:val="6F9A0528"/>
    <w:rsid w:val="6F9F0690"/>
    <w:rsid w:val="6FAA79E8"/>
    <w:rsid w:val="6FAC1261"/>
    <w:rsid w:val="6FC0372E"/>
    <w:rsid w:val="6FC50CC6"/>
    <w:rsid w:val="6FD11419"/>
    <w:rsid w:val="6FED5B27"/>
    <w:rsid w:val="6FF9271D"/>
    <w:rsid w:val="70041D30"/>
    <w:rsid w:val="70064D9E"/>
    <w:rsid w:val="700C3710"/>
    <w:rsid w:val="70221C74"/>
    <w:rsid w:val="702548E7"/>
    <w:rsid w:val="702D0364"/>
    <w:rsid w:val="703126C4"/>
    <w:rsid w:val="703419A7"/>
    <w:rsid w:val="703E0A68"/>
    <w:rsid w:val="70455963"/>
    <w:rsid w:val="70480970"/>
    <w:rsid w:val="704A2F79"/>
    <w:rsid w:val="704E2E60"/>
    <w:rsid w:val="705067E1"/>
    <w:rsid w:val="705256E8"/>
    <w:rsid w:val="7053007F"/>
    <w:rsid w:val="70587444"/>
    <w:rsid w:val="705C33D8"/>
    <w:rsid w:val="70741DA4"/>
    <w:rsid w:val="70803540"/>
    <w:rsid w:val="70981018"/>
    <w:rsid w:val="70A307A5"/>
    <w:rsid w:val="70A64653"/>
    <w:rsid w:val="70B328CC"/>
    <w:rsid w:val="70B329FD"/>
    <w:rsid w:val="70B56644"/>
    <w:rsid w:val="70C25205"/>
    <w:rsid w:val="70C57A65"/>
    <w:rsid w:val="70CA394F"/>
    <w:rsid w:val="70CE3877"/>
    <w:rsid w:val="70DC0CC8"/>
    <w:rsid w:val="70E231B1"/>
    <w:rsid w:val="70F80C27"/>
    <w:rsid w:val="71072C18"/>
    <w:rsid w:val="71096180"/>
    <w:rsid w:val="710B2708"/>
    <w:rsid w:val="710F044A"/>
    <w:rsid w:val="71184E25"/>
    <w:rsid w:val="71231082"/>
    <w:rsid w:val="71245578"/>
    <w:rsid w:val="71325E29"/>
    <w:rsid w:val="714300F4"/>
    <w:rsid w:val="71480E45"/>
    <w:rsid w:val="714A76D4"/>
    <w:rsid w:val="715F4802"/>
    <w:rsid w:val="71685DAD"/>
    <w:rsid w:val="7169742F"/>
    <w:rsid w:val="716D33C3"/>
    <w:rsid w:val="717127AA"/>
    <w:rsid w:val="71771B4C"/>
    <w:rsid w:val="717B2C41"/>
    <w:rsid w:val="71821D5E"/>
    <w:rsid w:val="71883696"/>
    <w:rsid w:val="719170B1"/>
    <w:rsid w:val="71A93F09"/>
    <w:rsid w:val="71B12754"/>
    <w:rsid w:val="71BA07A6"/>
    <w:rsid w:val="71CD3E62"/>
    <w:rsid w:val="71CD5C10"/>
    <w:rsid w:val="71DD5852"/>
    <w:rsid w:val="71FA3064"/>
    <w:rsid w:val="72007D93"/>
    <w:rsid w:val="7207158B"/>
    <w:rsid w:val="721839FE"/>
    <w:rsid w:val="721E46BD"/>
    <w:rsid w:val="722C0B88"/>
    <w:rsid w:val="7237643E"/>
    <w:rsid w:val="72384092"/>
    <w:rsid w:val="723C3CC8"/>
    <w:rsid w:val="723F6B0D"/>
    <w:rsid w:val="724C4D86"/>
    <w:rsid w:val="72502B68"/>
    <w:rsid w:val="725B0955"/>
    <w:rsid w:val="725D51E5"/>
    <w:rsid w:val="725E4ABA"/>
    <w:rsid w:val="725F64DC"/>
    <w:rsid w:val="72687A0A"/>
    <w:rsid w:val="72693B8A"/>
    <w:rsid w:val="726A7902"/>
    <w:rsid w:val="726C5A50"/>
    <w:rsid w:val="726E2F4F"/>
    <w:rsid w:val="72706649"/>
    <w:rsid w:val="727644F9"/>
    <w:rsid w:val="72824C4C"/>
    <w:rsid w:val="72872262"/>
    <w:rsid w:val="728D4703"/>
    <w:rsid w:val="72931273"/>
    <w:rsid w:val="72B03F1D"/>
    <w:rsid w:val="72B26ED3"/>
    <w:rsid w:val="72BD5C84"/>
    <w:rsid w:val="72D354A8"/>
    <w:rsid w:val="72E41463"/>
    <w:rsid w:val="72FC49FE"/>
    <w:rsid w:val="73025D8D"/>
    <w:rsid w:val="730C331A"/>
    <w:rsid w:val="73181BD7"/>
    <w:rsid w:val="731A30D6"/>
    <w:rsid w:val="731D44A6"/>
    <w:rsid w:val="73217FC1"/>
    <w:rsid w:val="73232776"/>
    <w:rsid w:val="732A05CD"/>
    <w:rsid w:val="73320420"/>
    <w:rsid w:val="73357F10"/>
    <w:rsid w:val="733C304D"/>
    <w:rsid w:val="735008A6"/>
    <w:rsid w:val="73520647"/>
    <w:rsid w:val="7352461E"/>
    <w:rsid w:val="735A7977"/>
    <w:rsid w:val="7361485A"/>
    <w:rsid w:val="7372081D"/>
    <w:rsid w:val="73750FEF"/>
    <w:rsid w:val="73791E1A"/>
    <w:rsid w:val="737F58BA"/>
    <w:rsid w:val="738A50C8"/>
    <w:rsid w:val="738D6716"/>
    <w:rsid w:val="73994325"/>
    <w:rsid w:val="739F3C40"/>
    <w:rsid w:val="73A0182E"/>
    <w:rsid w:val="73A62BBC"/>
    <w:rsid w:val="73AD7AA7"/>
    <w:rsid w:val="73AF7CC3"/>
    <w:rsid w:val="73BA5115"/>
    <w:rsid w:val="73CF3EC1"/>
    <w:rsid w:val="73D70FC8"/>
    <w:rsid w:val="73EF4563"/>
    <w:rsid w:val="73F456D6"/>
    <w:rsid w:val="73FB78CF"/>
    <w:rsid w:val="74011CD8"/>
    <w:rsid w:val="740905E0"/>
    <w:rsid w:val="7419513C"/>
    <w:rsid w:val="742110D9"/>
    <w:rsid w:val="742C4E6F"/>
    <w:rsid w:val="742E2254"/>
    <w:rsid w:val="74306915"/>
    <w:rsid w:val="7440091B"/>
    <w:rsid w:val="74404150"/>
    <w:rsid w:val="74406B6D"/>
    <w:rsid w:val="7443040B"/>
    <w:rsid w:val="744321B9"/>
    <w:rsid w:val="74471FC0"/>
    <w:rsid w:val="744A1799"/>
    <w:rsid w:val="745443C6"/>
    <w:rsid w:val="7456013E"/>
    <w:rsid w:val="74593751"/>
    <w:rsid w:val="745A5E80"/>
    <w:rsid w:val="7462249D"/>
    <w:rsid w:val="74775CFB"/>
    <w:rsid w:val="7479207F"/>
    <w:rsid w:val="747F7695"/>
    <w:rsid w:val="74A01FB6"/>
    <w:rsid w:val="74A916CD"/>
    <w:rsid w:val="74AC72D9"/>
    <w:rsid w:val="74AF4CFD"/>
    <w:rsid w:val="74B32AEA"/>
    <w:rsid w:val="74B82BA7"/>
    <w:rsid w:val="74C4154C"/>
    <w:rsid w:val="74CC6652"/>
    <w:rsid w:val="74D07EF1"/>
    <w:rsid w:val="74D44212"/>
    <w:rsid w:val="74D751F3"/>
    <w:rsid w:val="74E92D60"/>
    <w:rsid w:val="74EF0AE7"/>
    <w:rsid w:val="74F32052"/>
    <w:rsid w:val="74F529A5"/>
    <w:rsid w:val="74FA7255"/>
    <w:rsid w:val="74FF4332"/>
    <w:rsid w:val="750C6A4F"/>
    <w:rsid w:val="750E223B"/>
    <w:rsid w:val="751122B7"/>
    <w:rsid w:val="7516167C"/>
    <w:rsid w:val="751C3DB3"/>
    <w:rsid w:val="751F2C26"/>
    <w:rsid w:val="751F49D4"/>
    <w:rsid w:val="75210123"/>
    <w:rsid w:val="752B3379"/>
    <w:rsid w:val="752B4F95"/>
    <w:rsid w:val="753328F4"/>
    <w:rsid w:val="75371D1E"/>
    <w:rsid w:val="75383CE8"/>
    <w:rsid w:val="753D12FE"/>
    <w:rsid w:val="755F5E68"/>
    <w:rsid w:val="757C5983"/>
    <w:rsid w:val="75823801"/>
    <w:rsid w:val="75892B14"/>
    <w:rsid w:val="758C72D7"/>
    <w:rsid w:val="758D4A62"/>
    <w:rsid w:val="759058D2"/>
    <w:rsid w:val="7599118A"/>
    <w:rsid w:val="759C6025"/>
    <w:rsid w:val="75A16512"/>
    <w:rsid w:val="75B25848"/>
    <w:rsid w:val="75B76EDD"/>
    <w:rsid w:val="75BA7FFD"/>
    <w:rsid w:val="75BC2223"/>
    <w:rsid w:val="75BF6986"/>
    <w:rsid w:val="75BF7F65"/>
    <w:rsid w:val="75C1478E"/>
    <w:rsid w:val="75C630A2"/>
    <w:rsid w:val="75CD61DE"/>
    <w:rsid w:val="75DE663D"/>
    <w:rsid w:val="75E63744"/>
    <w:rsid w:val="75F419BD"/>
    <w:rsid w:val="75F41DBF"/>
    <w:rsid w:val="75F5582B"/>
    <w:rsid w:val="75FC6731"/>
    <w:rsid w:val="75FE1775"/>
    <w:rsid w:val="7607756E"/>
    <w:rsid w:val="760A310E"/>
    <w:rsid w:val="760B2B21"/>
    <w:rsid w:val="7610431D"/>
    <w:rsid w:val="76124539"/>
    <w:rsid w:val="76143E0D"/>
    <w:rsid w:val="761B163F"/>
    <w:rsid w:val="76246BD7"/>
    <w:rsid w:val="762A1583"/>
    <w:rsid w:val="7630676D"/>
    <w:rsid w:val="763C5112"/>
    <w:rsid w:val="76497D5B"/>
    <w:rsid w:val="764B7F29"/>
    <w:rsid w:val="764E3BDA"/>
    <w:rsid w:val="764F753B"/>
    <w:rsid w:val="765344C2"/>
    <w:rsid w:val="765E45AA"/>
    <w:rsid w:val="766C59F7"/>
    <w:rsid w:val="767600EE"/>
    <w:rsid w:val="7682346D"/>
    <w:rsid w:val="76911902"/>
    <w:rsid w:val="76956C4C"/>
    <w:rsid w:val="76973189"/>
    <w:rsid w:val="769B1281"/>
    <w:rsid w:val="76A01788"/>
    <w:rsid w:val="76A73B04"/>
    <w:rsid w:val="76AA651F"/>
    <w:rsid w:val="76AB6143"/>
    <w:rsid w:val="76B949B4"/>
    <w:rsid w:val="76BF646F"/>
    <w:rsid w:val="76D36719"/>
    <w:rsid w:val="76D37824"/>
    <w:rsid w:val="76E43CD9"/>
    <w:rsid w:val="76EA2DC0"/>
    <w:rsid w:val="76F8372F"/>
    <w:rsid w:val="76FF4ABD"/>
    <w:rsid w:val="77020109"/>
    <w:rsid w:val="77071BC4"/>
    <w:rsid w:val="7707314C"/>
    <w:rsid w:val="770A0762"/>
    <w:rsid w:val="770E65BD"/>
    <w:rsid w:val="77147E3D"/>
    <w:rsid w:val="77193CE7"/>
    <w:rsid w:val="771E0A7D"/>
    <w:rsid w:val="772234F9"/>
    <w:rsid w:val="77361931"/>
    <w:rsid w:val="77456248"/>
    <w:rsid w:val="775456FE"/>
    <w:rsid w:val="77577DD8"/>
    <w:rsid w:val="77626DFA"/>
    <w:rsid w:val="7768241F"/>
    <w:rsid w:val="776A3044"/>
    <w:rsid w:val="77757265"/>
    <w:rsid w:val="777C610E"/>
    <w:rsid w:val="77813724"/>
    <w:rsid w:val="778C3D73"/>
    <w:rsid w:val="779427CE"/>
    <w:rsid w:val="779C055E"/>
    <w:rsid w:val="779FB93B"/>
    <w:rsid w:val="77A168FF"/>
    <w:rsid w:val="77A953AA"/>
    <w:rsid w:val="77B07B65"/>
    <w:rsid w:val="77B56FBC"/>
    <w:rsid w:val="77B97AF7"/>
    <w:rsid w:val="77BC475C"/>
    <w:rsid w:val="77BC650A"/>
    <w:rsid w:val="77DE51CD"/>
    <w:rsid w:val="77E8342F"/>
    <w:rsid w:val="77ED0DBA"/>
    <w:rsid w:val="77F66609"/>
    <w:rsid w:val="77FC5030"/>
    <w:rsid w:val="77FD24DB"/>
    <w:rsid w:val="780B56E4"/>
    <w:rsid w:val="781225CE"/>
    <w:rsid w:val="78177D9D"/>
    <w:rsid w:val="7819395D"/>
    <w:rsid w:val="781F6A99"/>
    <w:rsid w:val="78250553"/>
    <w:rsid w:val="782A5B6A"/>
    <w:rsid w:val="782E3904"/>
    <w:rsid w:val="78320EC2"/>
    <w:rsid w:val="78382B1D"/>
    <w:rsid w:val="784A7FBA"/>
    <w:rsid w:val="7869084B"/>
    <w:rsid w:val="78770683"/>
    <w:rsid w:val="787B0918"/>
    <w:rsid w:val="787D1DC7"/>
    <w:rsid w:val="78811502"/>
    <w:rsid w:val="788539CD"/>
    <w:rsid w:val="78964FAD"/>
    <w:rsid w:val="78AB4A12"/>
    <w:rsid w:val="78B35B5F"/>
    <w:rsid w:val="78B6116D"/>
    <w:rsid w:val="78B908E9"/>
    <w:rsid w:val="78BD69DE"/>
    <w:rsid w:val="78CC6191"/>
    <w:rsid w:val="78CF4963"/>
    <w:rsid w:val="78D12489"/>
    <w:rsid w:val="78D6184E"/>
    <w:rsid w:val="78DE0702"/>
    <w:rsid w:val="78DF290A"/>
    <w:rsid w:val="78E026CC"/>
    <w:rsid w:val="78E83C59"/>
    <w:rsid w:val="78EA354B"/>
    <w:rsid w:val="78F22E50"/>
    <w:rsid w:val="78F702DB"/>
    <w:rsid w:val="78F817C4"/>
    <w:rsid w:val="7908577F"/>
    <w:rsid w:val="791505C8"/>
    <w:rsid w:val="79370E21"/>
    <w:rsid w:val="795A247F"/>
    <w:rsid w:val="796B468F"/>
    <w:rsid w:val="797177C8"/>
    <w:rsid w:val="79780B57"/>
    <w:rsid w:val="797D7F1B"/>
    <w:rsid w:val="799346BD"/>
    <w:rsid w:val="79A46E4E"/>
    <w:rsid w:val="79A9007F"/>
    <w:rsid w:val="79AD6A52"/>
    <w:rsid w:val="79AE0494"/>
    <w:rsid w:val="79AE2A5C"/>
    <w:rsid w:val="79B02661"/>
    <w:rsid w:val="79B37DE1"/>
    <w:rsid w:val="79C2567A"/>
    <w:rsid w:val="79C73BEA"/>
    <w:rsid w:val="79C913B2"/>
    <w:rsid w:val="79DA0436"/>
    <w:rsid w:val="79DB7996"/>
    <w:rsid w:val="79DD5C5F"/>
    <w:rsid w:val="79DE4E5E"/>
    <w:rsid w:val="79E104AA"/>
    <w:rsid w:val="79EB30D7"/>
    <w:rsid w:val="79ED32F3"/>
    <w:rsid w:val="79F64F55"/>
    <w:rsid w:val="79F8277A"/>
    <w:rsid w:val="79F97D86"/>
    <w:rsid w:val="79FD105A"/>
    <w:rsid w:val="7A0318AA"/>
    <w:rsid w:val="7A05775D"/>
    <w:rsid w:val="7A191A04"/>
    <w:rsid w:val="7A291E51"/>
    <w:rsid w:val="7A2D7B93"/>
    <w:rsid w:val="7A2E0C8D"/>
    <w:rsid w:val="7A3A5E0C"/>
    <w:rsid w:val="7A3D12CC"/>
    <w:rsid w:val="7A3E7E14"/>
    <w:rsid w:val="7A46546C"/>
    <w:rsid w:val="7A540C7C"/>
    <w:rsid w:val="7A57D034"/>
    <w:rsid w:val="7A585901"/>
    <w:rsid w:val="7A5E256D"/>
    <w:rsid w:val="7A613399"/>
    <w:rsid w:val="7A644042"/>
    <w:rsid w:val="7A6E6FFF"/>
    <w:rsid w:val="7A7979A7"/>
    <w:rsid w:val="7A7D45C9"/>
    <w:rsid w:val="7A835A05"/>
    <w:rsid w:val="7A8B6668"/>
    <w:rsid w:val="7A9554CF"/>
    <w:rsid w:val="7AA56BB4"/>
    <w:rsid w:val="7AADC44A"/>
    <w:rsid w:val="7AB13766"/>
    <w:rsid w:val="7AB17033"/>
    <w:rsid w:val="7ABD1848"/>
    <w:rsid w:val="7AC35E02"/>
    <w:rsid w:val="7ACA53E2"/>
    <w:rsid w:val="7AD07FD1"/>
    <w:rsid w:val="7AD149C3"/>
    <w:rsid w:val="7AD324E9"/>
    <w:rsid w:val="7ADB75EF"/>
    <w:rsid w:val="7AEF6BF7"/>
    <w:rsid w:val="7B034450"/>
    <w:rsid w:val="7B057CB1"/>
    <w:rsid w:val="7B0F7A08"/>
    <w:rsid w:val="7B14665D"/>
    <w:rsid w:val="7B22521E"/>
    <w:rsid w:val="7B2745E3"/>
    <w:rsid w:val="7B417B93"/>
    <w:rsid w:val="7B4640F7"/>
    <w:rsid w:val="7B4C229B"/>
    <w:rsid w:val="7B4E3011"/>
    <w:rsid w:val="7B58041C"/>
    <w:rsid w:val="7B58479C"/>
    <w:rsid w:val="7B5E54A7"/>
    <w:rsid w:val="7B705F89"/>
    <w:rsid w:val="7B7305C4"/>
    <w:rsid w:val="7B783090"/>
    <w:rsid w:val="7B895763"/>
    <w:rsid w:val="7B9F686F"/>
    <w:rsid w:val="7BAB3BEE"/>
    <w:rsid w:val="7BB032FB"/>
    <w:rsid w:val="7BB97E78"/>
    <w:rsid w:val="7BBF0CBF"/>
    <w:rsid w:val="7BC27715"/>
    <w:rsid w:val="7BCE0F02"/>
    <w:rsid w:val="7BE41C3E"/>
    <w:rsid w:val="7BE424D4"/>
    <w:rsid w:val="7BE44282"/>
    <w:rsid w:val="7BE854F3"/>
    <w:rsid w:val="7BEA60C1"/>
    <w:rsid w:val="7BF22E42"/>
    <w:rsid w:val="7BF7520F"/>
    <w:rsid w:val="7C0441F9"/>
    <w:rsid w:val="7C0F225C"/>
    <w:rsid w:val="7C10151B"/>
    <w:rsid w:val="7C1A136B"/>
    <w:rsid w:val="7C250561"/>
    <w:rsid w:val="7C29768E"/>
    <w:rsid w:val="7C2B3C5E"/>
    <w:rsid w:val="7C2B4099"/>
    <w:rsid w:val="7C2D18D5"/>
    <w:rsid w:val="7C2D79D7"/>
    <w:rsid w:val="7C300BCC"/>
    <w:rsid w:val="7C30396B"/>
    <w:rsid w:val="7C372603"/>
    <w:rsid w:val="7C3A6597"/>
    <w:rsid w:val="7C3A6DC9"/>
    <w:rsid w:val="7C43544C"/>
    <w:rsid w:val="7C5807CC"/>
    <w:rsid w:val="7C5D7262"/>
    <w:rsid w:val="7C5F7AB6"/>
    <w:rsid w:val="7C727ADF"/>
    <w:rsid w:val="7C87160D"/>
    <w:rsid w:val="7C8A21C5"/>
    <w:rsid w:val="7C8B38B7"/>
    <w:rsid w:val="7C8F0691"/>
    <w:rsid w:val="7C913594"/>
    <w:rsid w:val="7C9C4B5C"/>
    <w:rsid w:val="7CAE689D"/>
    <w:rsid w:val="7CB24380"/>
    <w:rsid w:val="7CB4634A"/>
    <w:rsid w:val="7CCA791B"/>
    <w:rsid w:val="7CD51E1C"/>
    <w:rsid w:val="7CDD764F"/>
    <w:rsid w:val="7CEC0A0B"/>
    <w:rsid w:val="7CED53B8"/>
    <w:rsid w:val="7CED7166"/>
    <w:rsid w:val="7CF501B8"/>
    <w:rsid w:val="7CF90201"/>
    <w:rsid w:val="7CFA128E"/>
    <w:rsid w:val="7CFB53EE"/>
    <w:rsid w:val="7D092F97"/>
    <w:rsid w:val="7D0C7F34"/>
    <w:rsid w:val="7D0D160C"/>
    <w:rsid w:val="7D0F3580"/>
    <w:rsid w:val="7D1E37C3"/>
    <w:rsid w:val="7D1E37CD"/>
    <w:rsid w:val="7D232172"/>
    <w:rsid w:val="7D2C0A71"/>
    <w:rsid w:val="7D341239"/>
    <w:rsid w:val="7D364FB1"/>
    <w:rsid w:val="7D3F7934"/>
    <w:rsid w:val="7D422E99"/>
    <w:rsid w:val="7D5E0064"/>
    <w:rsid w:val="7D5F62B6"/>
    <w:rsid w:val="7D6513F2"/>
    <w:rsid w:val="7D733E52"/>
    <w:rsid w:val="7D755FDA"/>
    <w:rsid w:val="7D797974"/>
    <w:rsid w:val="7D7D498E"/>
    <w:rsid w:val="7D853842"/>
    <w:rsid w:val="7D894AA5"/>
    <w:rsid w:val="7D9166E8"/>
    <w:rsid w:val="7D937D0D"/>
    <w:rsid w:val="7D974A34"/>
    <w:rsid w:val="7D99109C"/>
    <w:rsid w:val="7DA77C5D"/>
    <w:rsid w:val="7DAB4213"/>
    <w:rsid w:val="7DAD16DB"/>
    <w:rsid w:val="7DB14637"/>
    <w:rsid w:val="7DB25964"/>
    <w:rsid w:val="7DB60A03"/>
    <w:rsid w:val="7DD07510"/>
    <w:rsid w:val="7DD722F0"/>
    <w:rsid w:val="7DDA3A77"/>
    <w:rsid w:val="7DEB30E6"/>
    <w:rsid w:val="7DF6029C"/>
    <w:rsid w:val="7E03110F"/>
    <w:rsid w:val="7E064291"/>
    <w:rsid w:val="7E0724A9"/>
    <w:rsid w:val="7E1176D2"/>
    <w:rsid w:val="7E193995"/>
    <w:rsid w:val="7E2452FA"/>
    <w:rsid w:val="7E290672"/>
    <w:rsid w:val="7E2B263C"/>
    <w:rsid w:val="7E3F1C43"/>
    <w:rsid w:val="7E3F7E95"/>
    <w:rsid w:val="7E47400A"/>
    <w:rsid w:val="7E4858F4"/>
    <w:rsid w:val="7E492AC2"/>
    <w:rsid w:val="7E4B3831"/>
    <w:rsid w:val="7E61605D"/>
    <w:rsid w:val="7E6634F2"/>
    <w:rsid w:val="7E6873EC"/>
    <w:rsid w:val="7E6B334D"/>
    <w:rsid w:val="7E6D374A"/>
    <w:rsid w:val="7E7A2C7B"/>
    <w:rsid w:val="7E7C374E"/>
    <w:rsid w:val="7E864BCE"/>
    <w:rsid w:val="7E966CB8"/>
    <w:rsid w:val="7E977CD1"/>
    <w:rsid w:val="7E9918DC"/>
    <w:rsid w:val="7E9D4FE8"/>
    <w:rsid w:val="7EA45F4A"/>
    <w:rsid w:val="7EB443DF"/>
    <w:rsid w:val="7EB444E7"/>
    <w:rsid w:val="7EB646B3"/>
    <w:rsid w:val="7EC10496"/>
    <w:rsid w:val="7EC35912"/>
    <w:rsid w:val="7EC50D5E"/>
    <w:rsid w:val="7ECD55DA"/>
    <w:rsid w:val="7ECFD281"/>
    <w:rsid w:val="7ED20D09"/>
    <w:rsid w:val="7EDA1A01"/>
    <w:rsid w:val="7EDC3936"/>
    <w:rsid w:val="7EE60311"/>
    <w:rsid w:val="7EE84089"/>
    <w:rsid w:val="7EEB5927"/>
    <w:rsid w:val="7EF621DB"/>
    <w:rsid w:val="7EFE4247"/>
    <w:rsid w:val="7F023749"/>
    <w:rsid w:val="7F0F1615"/>
    <w:rsid w:val="7F1332BD"/>
    <w:rsid w:val="7F1D1644"/>
    <w:rsid w:val="7F252BA0"/>
    <w:rsid w:val="7F2A28F3"/>
    <w:rsid w:val="7F2A644F"/>
    <w:rsid w:val="7F2E23E3"/>
    <w:rsid w:val="7F2F3A66"/>
    <w:rsid w:val="7F3177DE"/>
    <w:rsid w:val="7F324B6A"/>
    <w:rsid w:val="7F5B0CFF"/>
    <w:rsid w:val="7F5C4CB5"/>
    <w:rsid w:val="7F6A0820"/>
    <w:rsid w:val="7F7678E7"/>
    <w:rsid w:val="7F7D322E"/>
    <w:rsid w:val="7F857B2A"/>
    <w:rsid w:val="7F867444"/>
    <w:rsid w:val="7F914720"/>
    <w:rsid w:val="7F924F5E"/>
    <w:rsid w:val="7F925B1A"/>
    <w:rsid w:val="7F963AE5"/>
    <w:rsid w:val="7FAA7590"/>
    <w:rsid w:val="7FC53285"/>
    <w:rsid w:val="7FC6379A"/>
    <w:rsid w:val="7FC93EBA"/>
    <w:rsid w:val="7FCF78C5"/>
    <w:rsid w:val="7FEE1B73"/>
    <w:rsid w:val="9B7FF10D"/>
    <w:rsid w:val="9BF3AA30"/>
    <w:rsid w:val="AD6FFD9A"/>
    <w:rsid w:val="BAC9AA80"/>
    <w:rsid w:val="BDDF2950"/>
    <w:rsid w:val="D6F772E9"/>
    <w:rsid w:val="D9862F8C"/>
    <w:rsid w:val="DB6FDAB7"/>
    <w:rsid w:val="EDFFFCF3"/>
    <w:rsid w:val="EED1280D"/>
    <w:rsid w:val="EFFF277A"/>
    <w:rsid w:val="F3FF6B0A"/>
    <w:rsid w:val="F6FB73D0"/>
    <w:rsid w:val="F7BC4206"/>
    <w:rsid w:val="FFFBF7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59" w:lineRule="auto"/>
    </w:pPr>
    <w:rPr>
      <w:rFonts w:ascii="Tahoma" w:hAnsi="Tahoma" w:eastAsia="微软雅黑" w:cs="Times New Roman"/>
      <w:sz w:val="22"/>
      <w:szCs w:val="22"/>
      <w:lang w:val="en-US" w:eastAsia="zh-CN" w:bidi="ar-SA"/>
    </w:rPr>
  </w:style>
  <w:style w:type="paragraph" w:styleId="3">
    <w:name w:val="heading 1"/>
    <w:basedOn w:val="1"/>
    <w:next w:val="1"/>
    <w:link w:val="49"/>
    <w:qFormat/>
    <w:uiPriority w:val="0"/>
    <w:pPr>
      <w:keepNext/>
      <w:keepLines/>
      <w:widowControl w:val="0"/>
      <w:numPr>
        <w:ilvl w:val="0"/>
        <w:numId w:val="1"/>
      </w:numPr>
      <w:adjustRightInd/>
      <w:snapToGrid/>
      <w:spacing w:beforeLines="50" w:afterLines="50" w:line="360" w:lineRule="auto"/>
      <w:outlineLvl w:val="0"/>
    </w:pPr>
    <w:rPr>
      <w:rFonts w:ascii="Times New Roman" w:hAnsi="Times New Roman" w:eastAsia="宋体"/>
      <w:b/>
      <w:kern w:val="44"/>
      <w:sz w:val="32"/>
      <w:szCs w:val="24"/>
    </w:rPr>
  </w:style>
  <w:style w:type="paragraph" w:styleId="4">
    <w:name w:val="heading 2"/>
    <w:basedOn w:val="1"/>
    <w:next w:val="1"/>
    <w:link w:val="85"/>
    <w:qFormat/>
    <w:uiPriority w:val="0"/>
    <w:pPr>
      <w:keepNext/>
      <w:keepLines/>
      <w:widowControl w:val="0"/>
      <w:numPr>
        <w:ilvl w:val="1"/>
        <w:numId w:val="1"/>
      </w:numPr>
      <w:adjustRightInd/>
      <w:snapToGrid/>
      <w:spacing w:beforeLines="50" w:afterLines="50" w:line="360" w:lineRule="auto"/>
      <w:jc w:val="both"/>
      <w:outlineLvl w:val="1"/>
    </w:pPr>
    <w:rPr>
      <w:rFonts w:ascii="Times New Roman" w:hAnsi="Times New Roman" w:eastAsia="宋体"/>
      <w:b/>
      <w:sz w:val="28"/>
      <w:szCs w:val="20"/>
    </w:rPr>
  </w:style>
  <w:style w:type="paragraph" w:styleId="5">
    <w:name w:val="heading 3"/>
    <w:basedOn w:val="1"/>
    <w:next w:val="1"/>
    <w:link w:val="81"/>
    <w:qFormat/>
    <w:uiPriority w:val="0"/>
    <w:pPr>
      <w:keepNext/>
      <w:keepLines/>
      <w:numPr>
        <w:ilvl w:val="2"/>
        <w:numId w:val="1"/>
      </w:numPr>
      <w:spacing w:beforeLines="50" w:afterLines="50" w:line="360" w:lineRule="auto"/>
      <w:outlineLvl w:val="2"/>
    </w:pPr>
    <w:rPr>
      <w:rFonts w:ascii="Times New Roman" w:hAnsi="Times New Roman"/>
      <w:b/>
      <w:sz w:val="28"/>
      <w:szCs w:val="20"/>
    </w:rPr>
  </w:style>
  <w:style w:type="paragraph" w:styleId="6">
    <w:name w:val="heading 4"/>
    <w:basedOn w:val="1"/>
    <w:next w:val="1"/>
    <w:link w:val="76"/>
    <w:qFormat/>
    <w:uiPriority w:val="0"/>
    <w:pPr>
      <w:numPr>
        <w:ilvl w:val="3"/>
        <w:numId w:val="2"/>
      </w:numPr>
      <w:spacing w:before="240" w:after="240" w:line="377" w:lineRule="auto"/>
      <w:outlineLvl w:val="3"/>
    </w:pPr>
    <w:rPr>
      <w:rFonts w:eastAsia="黑体"/>
      <w:b/>
      <w:bCs/>
      <w:sz w:val="28"/>
      <w:szCs w:val="28"/>
    </w:rPr>
  </w:style>
  <w:style w:type="paragraph" w:styleId="7">
    <w:name w:val="heading 5"/>
    <w:basedOn w:val="1"/>
    <w:next w:val="1"/>
    <w:link w:val="117"/>
    <w:qFormat/>
    <w:uiPriority w:val="0"/>
    <w:pPr>
      <w:widowControl w:val="0"/>
      <w:tabs>
        <w:tab w:val="left" w:pos="1134"/>
      </w:tabs>
      <w:adjustRightInd/>
      <w:snapToGrid/>
      <w:spacing w:before="280" w:after="290" w:line="360" w:lineRule="auto"/>
      <w:jc w:val="both"/>
      <w:outlineLvl w:val="4"/>
    </w:pPr>
    <w:rPr>
      <w:rFonts w:ascii="Times New Roman" w:hAnsi="Times New Roman" w:eastAsia="宋体"/>
      <w:b/>
      <w:bCs/>
      <w:sz w:val="28"/>
      <w:szCs w:val="28"/>
    </w:rPr>
  </w:style>
  <w:style w:type="paragraph" w:styleId="8">
    <w:name w:val="heading 6"/>
    <w:basedOn w:val="1"/>
    <w:next w:val="1"/>
    <w:link w:val="118"/>
    <w:qFormat/>
    <w:uiPriority w:val="0"/>
    <w:pPr>
      <w:keepNext/>
      <w:keepLines/>
      <w:widowControl w:val="0"/>
      <w:adjustRightInd/>
      <w:snapToGrid/>
      <w:spacing w:before="240" w:after="64" w:line="316" w:lineRule="auto"/>
      <w:jc w:val="both"/>
      <w:outlineLvl w:val="5"/>
    </w:pPr>
    <w:rPr>
      <w:rFonts w:ascii="Arial" w:hAnsi="Arial" w:eastAsia="宋体"/>
      <w:b/>
      <w:bCs/>
      <w:sz w:val="28"/>
      <w:szCs w:val="18"/>
    </w:rPr>
  </w:style>
  <w:style w:type="paragraph" w:styleId="9">
    <w:name w:val="heading 7"/>
    <w:basedOn w:val="1"/>
    <w:next w:val="1"/>
    <w:link w:val="119"/>
    <w:qFormat/>
    <w:uiPriority w:val="0"/>
    <w:pPr>
      <w:keepNext/>
      <w:tabs>
        <w:tab w:val="left" w:pos="3600"/>
      </w:tabs>
      <w:adjustRightInd/>
      <w:snapToGrid/>
      <w:spacing w:after="120"/>
      <w:outlineLvl w:val="6"/>
    </w:pPr>
    <w:rPr>
      <w:rFonts w:ascii="Arial Narrow" w:hAnsi="Arial Narrow" w:eastAsia="宋体"/>
      <w:b/>
      <w:bCs/>
      <w:iCs/>
      <w:sz w:val="20"/>
      <w:szCs w:val="24"/>
      <w:lang w:eastAsia="en-US"/>
    </w:rPr>
  </w:style>
  <w:style w:type="paragraph" w:styleId="10">
    <w:name w:val="heading 8"/>
    <w:basedOn w:val="1"/>
    <w:next w:val="1"/>
    <w:link w:val="120"/>
    <w:qFormat/>
    <w:uiPriority w:val="0"/>
    <w:pPr>
      <w:keepNext/>
      <w:keepLines/>
      <w:widowControl w:val="0"/>
      <w:adjustRightInd/>
      <w:snapToGrid/>
      <w:spacing w:before="240" w:after="64" w:line="316" w:lineRule="auto"/>
      <w:jc w:val="both"/>
      <w:outlineLvl w:val="7"/>
    </w:pPr>
    <w:rPr>
      <w:rFonts w:ascii="Arial" w:hAnsi="Arial" w:eastAsia="黑体"/>
      <w:sz w:val="24"/>
      <w:szCs w:val="24"/>
    </w:rPr>
  </w:style>
  <w:style w:type="paragraph" w:styleId="11">
    <w:name w:val="heading 9"/>
    <w:basedOn w:val="1"/>
    <w:next w:val="1"/>
    <w:link w:val="121"/>
    <w:qFormat/>
    <w:uiPriority w:val="0"/>
    <w:pPr>
      <w:keepNext/>
      <w:keepLines/>
      <w:widowControl w:val="0"/>
      <w:adjustRightInd/>
      <w:snapToGrid/>
      <w:spacing w:before="240" w:after="64" w:line="316" w:lineRule="auto"/>
      <w:jc w:val="both"/>
      <w:outlineLvl w:val="8"/>
    </w:pPr>
    <w:rPr>
      <w:rFonts w:ascii="Arial" w:hAnsi="Arial" w:eastAsia="黑体"/>
      <w:sz w:val="2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27"/>
    <w:qFormat/>
    <w:uiPriority w:val="0"/>
    <w:pPr>
      <w:spacing w:line="360" w:lineRule="auto"/>
      <w:ind w:firstLine="420"/>
      <w:textAlignment w:val="baseline"/>
    </w:pPr>
    <w:rPr>
      <w:rFonts w:eastAsia="楷体_GB2312"/>
      <w:b/>
      <w:bCs/>
      <w:szCs w:val="20"/>
      <w:lang w:eastAsia="en-US"/>
    </w:rPr>
  </w:style>
  <w:style w:type="paragraph" w:styleId="12">
    <w:name w:val="Note Heading"/>
    <w:basedOn w:val="1"/>
    <w:next w:val="1"/>
    <w:qFormat/>
    <w:uiPriority w:val="0"/>
    <w:pPr>
      <w:spacing w:line="480" w:lineRule="exact"/>
    </w:pPr>
  </w:style>
  <w:style w:type="paragraph" w:styleId="13">
    <w:name w:val="List Number"/>
    <w:basedOn w:val="1"/>
    <w:unhideWhenUsed/>
    <w:qFormat/>
    <w:uiPriority w:val="99"/>
    <w:pPr>
      <w:numPr>
        <w:ilvl w:val="0"/>
        <w:numId w:val="3"/>
      </w:numPr>
    </w:pPr>
  </w:style>
  <w:style w:type="paragraph" w:styleId="14">
    <w:name w:val="Normal Indent"/>
    <w:basedOn w:val="1"/>
    <w:link w:val="108"/>
    <w:qFormat/>
    <w:uiPriority w:val="0"/>
    <w:pPr>
      <w:spacing w:after="0" w:line="480" w:lineRule="exact"/>
      <w:ind w:firstLine="567"/>
      <w:jc w:val="both"/>
    </w:pPr>
    <w:rPr>
      <w:rFonts w:ascii="宋体" w:hAnsi="Verdana" w:eastAsia="宋体"/>
      <w:snapToGrid w:val="0"/>
      <w:color w:val="000000"/>
      <w:kern w:val="28"/>
      <w:sz w:val="28"/>
      <w:szCs w:val="20"/>
    </w:rPr>
  </w:style>
  <w:style w:type="paragraph" w:styleId="15">
    <w:name w:val="caption"/>
    <w:basedOn w:val="1"/>
    <w:next w:val="1"/>
    <w:qFormat/>
    <w:uiPriority w:val="35"/>
    <w:rPr>
      <w:rFonts w:ascii="Cambria" w:hAnsi="Cambria" w:eastAsia="黑体"/>
      <w:sz w:val="20"/>
      <w:szCs w:val="20"/>
    </w:rPr>
  </w:style>
  <w:style w:type="paragraph" w:styleId="16">
    <w:name w:val="annotation text"/>
    <w:basedOn w:val="1"/>
    <w:link w:val="74"/>
    <w:qFormat/>
    <w:uiPriority w:val="0"/>
    <w:rPr>
      <w:szCs w:val="20"/>
    </w:rPr>
  </w:style>
  <w:style w:type="paragraph" w:styleId="17">
    <w:name w:val="Body Text 3"/>
    <w:basedOn w:val="1"/>
    <w:link w:val="71"/>
    <w:qFormat/>
    <w:uiPriority w:val="0"/>
    <w:pPr>
      <w:spacing w:after="120"/>
    </w:pPr>
    <w:rPr>
      <w:sz w:val="16"/>
      <w:szCs w:val="16"/>
    </w:rPr>
  </w:style>
  <w:style w:type="paragraph" w:styleId="18">
    <w:name w:val="Body Text"/>
    <w:basedOn w:val="1"/>
    <w:next w:val="1"/>
    <w:link w:val="122"/>
    <w:qFormat/>
    <w:uiPriority w:val="0"/>
    <w:pPr>
      <w:spacing w:after="120"/>
    </w:pPr>
    <w:rPr>
      <w:rFonts w:ascii="Calibri" w:hAnsi="Calibri" w:eastAsia="仿宋_GB2312"/>
      <w:sz w:val="24"/>
      <w:szCs w:val="21"/>
    </w:rPr>
  </w:style>
  <w:style w:type="paragraph" w:styleId="19">
    <w:name w:val="Body Text Indent"/>
    <w:basedOn w:val="1"/>
    <w:next w:val="20"/>
    <w:link w:val="72"/>
    <w:qFormat/>
    <w:uiPriority w:val="0"/>
    <w:pPr>
      <w:widowControl w:val="0"/>
      <w:adjustRightInd/>
      <w:snapToGrid/>
      <w:spacing w:after="0"/>
      <w:ind w:left="-357" w:leftChars="-170" w:firstLine="535" w:firstLineChars="223"/>
      <w:jc w:val="both"/>
    </w:pPr>
    <w:rPr>
      <w:rFonts w:ascii="Calibri" w:hAnsi="Calibri"/>
      <w:szCs w:val="24"/>
    </w:rPr>
  </w:style>
  <w:style w:type="paragraph" w:styleId="20">
    <w:name w:val="Body Text First Indent 2"/>
    <w:basedOn w:val="19"/>
    <w:next w:val="1"/>
    <w:unhideWhenUsed/>
    <w:qFormat/>
    <w:uiPriority w:val="99"/>
    <w:pPr>
      <w:spacing w:after="120"/>
      <w:ind w:left="420" w:leftChars="200" w:firstLine="420" w:firstLineChars="200"/>
    </w:pPr>
    <w:rPr>
      <w:sz w:val="21"/>
    </w:rPr>
  </w:style>
  <w:style w:type="paragraph" w:styleId="21">
    <w:name w:val="List Number 3"/>
    <w:basedOn w:val="1"/>
    <w:qFormat/>
    <w:uiPriority w:val="0"/>
    <w:pPr>
      <w:widowControl w:val="0"/>
      <w:numPr>
        <w:ilvl w:val="0"/>
        <w:numId w:val="4"/>
      </w:numPr>
      <w:adjustRightInd/>
      <w:snapToGrid/>
      <w:spacing w:after="0"/>
      <w:jc w:val="both"/>
    </w:pPr>
    <w:rPr>
      <w:rFonts w:ascii="Times New Roman" w:hAnsi="Times New Roman" w:eastAsia="宋体"/>
      <w:kern w:val="2"/>
      <w:sz w:val="21"/>
      <w:szCs w:val="24"/>
    </w:rPr>
  </w:style>
  <w:style w:type="paragraph" w:styleId="22">
    <w:name w:val="List 2"/>
    <w:basedOn w:val="1"/>
    <w:qFormat/>
    <w:uiPriority w:val="0"/>
    <w:pPr>
      <w:spacing w:after="120" w:line="400" w:lineRule="exact"/>
    </w:pPr>
    <w:rPr>
      <w:sz w:val="24"/>
    </w:rPr>
  </w:style>
  <w:style w:type="paragraph" w:styleId="23">
    <w:name w:val="toc 3"/>
    <w:basedOn w:val="1"/>
    <w:next w:val="1"/>
    <w:qFormat/>
    <w:uiPriority w:val="0"/>
    <w:pPr>
      <w:ind w:left="420"/>
    </w:pPr>
    <w:rPr>
      <w:rFonts w:ascii="仿宋_GB2312" w:eastAsia="仿宋_GB2312"/>
      <w:i/>
      <w:iCs/>
      <w:sz w:val="20"/>
      <w:szCs w:val="20"/>
    </w:rPr>
  </w:style>
  <w:style w:type="paragraph" w:styleId="24">
    <w:name w:val="Plain Text"/>
    <w:basedOn w:val="1"/>
    <w:link w:val="73"/>
    <w:qFormat/>
    <w:uiPriority w:val="0"/>
    <w:pPr>
      <w:overflowPunct w:val="0"/>
      <w:autoSpaceDE w:val="0"/>
      <w:autoSpaceDN w:val="0"/>
      <w:textAlignment w:val="baseline"/>
    </w:pPr>
    <w:rPr>
      <w:rFonts w:ascii="宋体" w:hAnsi="Courier New"/>
      <w:szCs w:val="20"/>
    </w:rPr>
  </w:style>
  <w:style w:type="paragraph" w:styleId="25">
    <w:name w:val="Date"/>
    <w:basedOn w:val="1"/>
    <w:next w:val="1"/>
    <w:link w:val="79"/>
    <w:unhideWhenUsed/>
    <w:qFormat/>
    <w:uiPriority w:val="0"/>
    <w:pPr>
      <w:ind w:left="2500" w:leftChars="2500"/>
    </w:pPr>
    <w:rPr>
      <w:rFonts w:ascii="Times New Roman" w:hAnsi="Times New Roman" w:eastAsia="楷体_GB2312"/>
      <w:sz w:val="32"/>
      <w:szCs w:val="20"/>
    </w:rPr>
  </w:style>
  <w:style w:type="paragraph" w:styleId="26">
    <w:name w:val="Body Text Indent 2"/>
    <w:basedOn w:val="1"/>
    <w:qFormat/>
    <w:uiPriority w:val="0"/>
    <w:pPr>
      <w:spacing w:after="120" w:line="360" w:lineRule="auto"/>
      <w:ind w:left="420" w:leftChars="200"/>
    </w:pPr>
  </w:style>
  <w:style w:type="paragraph" w:styleId="27">
    <w:name w:val="Balloon Text"/>
    <w:basedOn w:val="1"/>
    <w:link w:val="84"/>
    <w:unhideWhenUsed/>
    <w:qFormat/>
    <w:uiPriority w:val="0"/>
    <w:pPr>
      <w:spacing w:after="0"/>
    </w:pPr>
    <w:rPr>
      <w:sz w:val="18"/>
      <w:szCs w:val="18"/>
    </w:rPr>
  </w:style>
  <w:style w:type="paragraph" w:styleId="28">
    <w:name w:val="footer"/>
    <w:basedOn w:val="1"/>
    <w:link w:val="77"/>
    <w:qFormat/>
    <w:uiPriority w:val="0"/>
    <w:pPr>
      <w:tabs>
        <w:tab w:val="center" w:pos="4153"/>
        <w:tab w:val="right" w:pos="8306"/>
      </w:tabs>
    </w:pPr>
    <w:rPr>
      <w:sz w:val="18"/>
      <w:szCs w:val="18"/>
    </w:rPr>
  </w:style>
  <w:style w:type="paragraph" w:styleId="29">
    <w:name w:val="header"/>
    <w:basedOn w:val="1"/>
    <w:link w:val="70"/>
    <w:unhideWhenUsed/>
    <w:qFormat/>
    <w:uiPriority w:val="0"/>
    <w:pPr>
      <w:pBdr>
        <w:bottom w:val="single" w:color="auto" w:sz="6" w:space="1"/>
      </w:pBdr>
      <w:tabs>
        <w:tab w:val="center" w:pos="4153"/>
        <w:tab w:val="right" w:pos="8306"/>
      </w:tabs>
      <w:spacing w:line="360" w:lineRule="auto"/>
      <w:ind w:firstLine="200" w:firstLineChars="200"/>
      <w:jc w:val="center"/>
    </w:pPr>
    <w:rPr>
      <w:rFonts w:ascii="Times New Roman" w:eastAsia="宋体"/>
      <w:sz w:val="18"/>
      <w:szCs w:val="20"/>
    </w:rPr>
  </w:style>
  <w:style w:type="paragraph" w:styleId="30">
    <w:name w:val="toc 1"/>
    <w:basedOn w:val="1"/>
    <w:next w:val="1"/>
    <w:qFormat/>
    <w:uiPriority w:val="39"/>
    <w:pPr>
      <w:spacing w:before="120" w:after="120"/>
    </w:pPr>
    <w:rPr>
      <w:rFonts w:cs="Calibri"/>
      <w:b/>
      <w:bCs/>
      <w:caps/>
      <w:sz w:val="20"/>
      <w:szCs w:val="20"/>
    </w:rPr>
  </w:style>
  <w:style w:type="paragraph" w:styleId="31">
    <w:name w:val="footnote text"/>
    <w:basedOn w:val="1"/>
    <w:semiHidden/>
    <w:qFormat/>
    <w:uiPriority w:val="99"/>
    <w:rPr>
      <w:rFonts w:ascii="Calibri" w:hAnsi="Calibri" w:eastAsia="宋体" w:cs="黑体"/>
      <w:sz w:val="18"/>
      <w:szCs w:val="18"/>
    </w:rPr>
  </w:style>
  <w:style w:type="paragraph" w:styleId="32">
    <w:name w:val="toc 6"/>
    <w:basedOn w:val="1"/>
    <w:next w:val="1"/>
    <w:qFormat/>
    <w:uiPriority w:val="39"/>
    <w:pPr>
      <w:ind w:left="1400"/>
    </w:pPr>
    <w:rPr>
      <w:rFonts w:ascii="Calibri" w:hAnsi="Calibri"/>
      <w:sz w:val="18"/>
      <w:szCs w:val="18"/>
    </w:rPr>
  </w:style>
  <w:style w:type="paragraph" w:styleId="33">
    <w:name w:val="Body Text Indent 3"/>
    <w:basedOn w:val="1"/>
    <w:link w:val="109"/>
    <w:unhideWhenUsed/>
    <w:qFormat/>
    <w:uiPriority w:val="99"/>
    <w:pPr>
      <w:spacing w:after="120"/>
      <w:ind w:left="420" w:leftChars="200"/>
    </w:pPr>
    <w:rPr>
      <w:sz w:val="16"/>
      <w:szCs w:val="16"/>
    </w:rPr>
  </w:style>
  <w:style w:type="paragraph" w:styleId="34">
    <w:name w:val="toc 2"/>
    <w:basedOn w:val="1"/>
    <w:next w:val="1"/>
    <w:qFormat/>
    <w:uiPriority w:val="0"/>
    <w:pPr>
      <w:ind w:left="210"/>
    </w:pPr>
    <w:rPr>
      <w:rFonts w:ascii="仿宋_GB2312" w:eastAsia="仿宋_GB2312"/>
      <w:smallCaps/>
      <w:sz w:val="20"/>
    </w:rPr>
  </w:style>
  <w:style w:type="paragraph" w:styleId="35">
    <w:name w:val="Body Text 2"/>
    <w:basedOn w:val="1"/>
    <w:qFormat/>
    <w:uiPriority w:val="0"/>
    <w:pPr>
      <w:spacing w:after="120" w:line="360" w:lineRule="auto"/>
      <w:ind w:left="420"/>
    </w:pPr>
    <w:rPr>
      <w:sz w:val="20"/>
      <w:szCs w:val="24"/>
    </w:rPr>
  </w:style>
  <w:style w:type="paragraph" w:styleId="36">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3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8">
    <w:name w:val="Normal (Web)"/>
    <w:basedOn w:val="1"/>
    <w:qFormat/>
    <w:uiPriority w:val="0"/>
    <w:pPr>
      <w:spacing w:before="100" w:beforeAutospacing="1" w:after="100" w:afterAutospacing="1"/>
    </w:pPr>
    <w:rPr>
      <w:rFonts w:ascii="宋体" w:hAnsi="宋体"/>
      <w:sz w:val="24"/>
      <w:szCs w:val="24"/>
    </w:rPr>
  </w:style>
  <w:style w:type="paragraph" w:styleId="39">
    <w:name w:val="Title"/>
    <w:basedOn w:val="1"/>
    <w:next w:val="1"/>
    <w:link w:val="75"/>
    <w:qFormat/>
    <w:uiPriority w:val="0"/>
    <w:pPr>
      <w:spacing w:before="240" w:after="60"/>
      <w:jc w:val="center"/>
      <w:outlineLvl w:val="0"/>
    </w:pPr>
    <w:rPr>
      <w:rFonts w:ascii="Cambria" w:hAnsi="Cambria" w:eastAsia="宋体"/>
      <w:b/>
      <w:bCs/>
      <w:sz w:val="32"/>
      <w:szCs w:val="32"/>
    </w:rPr>
  </w:style>
  <w:style w:type="paragraph" w:styleId="40">
    <w:name w:val="annotation subject"/>
    <w:basedOn w:val="16"/>
    <w:next w:val="16"/>
    <w:link w:val="88"/>
    <w:unhideWhenUsed/>
    <w:qFormat/>
    <w:uiPriority w:val="99"/>
    <w:rPr>
      <w:b/>
      <w:bCs/>
      <w:szCs w:val="22"/>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ahoma" w:hAnsi="Tahoma" w:eastAsia="仿宋_GB2312"/>
      <w:b/>
      <w:bCs/>
      <w:sz w:val="24"/>
    </w:rPr>
  </w:style>
  <w:style w:type="character" w:styleId="45">
    <w:name w:val="page number"/>
    <w:basedOn w:val="43"/>
    <w:unhideWhenUsed/>
    <w:qFormat/>
    <w:uiPriority w:val="99"/>
  </w:style>
  <w:style w:type="character" w:styleId="46">
    <w:name w:val="FollowedHyperlink"/>
    <w:unhideWhenUsed/>
    <w:qFormat/>
    <w:uiPriority w:val="99"/>
    <w:rPr>
      <w:color w:val="800080"/>
      <w:u w:val="single"/>
    </w:rPr>
  </w:style>
  <w:style w:type="character" w:styleId="47">
    <w:name w:val="Hyperlink"/>
    <w:qFormat/>
    <w:uiPriority w:val="0"/>
    <w:rPr>
      <w:color w:val="0000FF"/>
      <w:u w:val="single"/>
    </w:rPr>
  </w:style>
  <w:style w:type="character" w:styleId="48">
    <w:name w:val="annotation reference"/>
    <w:unhideWhenUsed/>
    <w:qFormat/>
    <w:uiPriority w:val="0"/>
    <w:rPr>
      <w:sz w:val="21"/>
      <w:szCs w:val="21"/>
    </w:rPr>
  </w:style>
  <w:style w:type="character" w:customStyle="1" w:styleId="49">
    <w:name w:val="标题 1 字符"/>
    <w:basedOn w:val="43"/>
    <w:link w:val="3"/>
    <w:qFormat/>
    <w:uiPriority w:val="0"/>
    <w:rPr>
      <w:rFonts w:ascii="Times New Roman" w:hAnsi="Times New Roman" w:eastAsia="宋体" w:cs="Times New Roman"/>
      <w:b/>
      <w:kern w:val="44"/>
      <w:sz w:val="32"/>
      <w:szCs w:val="24"/>
    </w:rPr>
  </w:style>
  <w:style w:type="character" w:customStyle="1" w:styleId="50">
    <w:name w:val="标题 2 Char"/>
    <w:qFormat/>
    <w:uiPriority w:val="9"/>
    <w:rPr>
      <w:rFonts w:ascii="宋体" w:hAnsi="宋体" w:eastAsia="黑体"/>
      <w:b/>
      <w:bCs/>
      <w:kern w:val="2"/>
      <w:sz w:val="24"/>
      <w:szCs w:val="32"/>
      <w:lang w:val="en-US" w:eastAsia="zh-CN" w:bidi="ar-SA"/>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2">
    <w:name w:val="正文空2字"/>
    <w:basedOn w:val="5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53">
    <w:name w:val="左对齐正文"/>
    <w:qFormat/>
    <w:uiPriority w:val="99"/>
    <w:rPr>
      <w:rFonts w:ascii="Calibri" w:hAnsi="Calibri" w:eastAsia="仿宋_GB2312" w:cs="Calibri"/>
      <w:kern w:val="2"/>
      <w:sz w:val="32"/>
      <w:szCs w:val="32"/>
      <w:lang w:val="en-US" w:eastAsia="zh-CN" w:bidi="ar-SA"/>
    </w:rPr>
  </w:style>
  <w:style w:type="paragraph" w:customStyle="1" w:styleId="54">
    <w:name w:val="Heading1"/>
    <w:basedOn w:val="1"/>
    <w:next w:val="1"/>
    <w:qFormat/>
    <w:uiPriority w:val="0"/>
    <w:pPr>
      <w:keepNext/>
      <w:keepLines/>
      <w:spacing w:before="340" w:after="330" w:line="578" w:lineRule="auto"/>
    </w:pPr>
    <w:rPr>
      <w:kern w:val="44"/>
      <w:sz w:val="44"/>
      <w:szCs w:val="44"/>
    </w:rPr>
  </w:style>
  <w:style w:type="paragraph" w:customStyle="1" w:styleId="55">
    <w:name w:val="正文1"/>
    <w:basedOn w:val="23"/>
    <w:next w:val="56"/>
    <w:qFormat/>
    <w:uiPriority w:val="0"/>
    <w:pPr>
      <w:spacing w:line="360" w:lineRule="auto"/>
      <w:ind w:left="357" w:firstLine="420"/>
    </w:pPr>
    <w:rPr>
      <w:rFonts w:cs="Arial"/>
    </w:rPr>
  </w:style>
  <w:style w:type="paragraph" w:customStyle="1" w:styleId="56">
    <w:name w:val="自动更正"/>
    <w:next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xl39"/>
    <w:basedOn w:val="1"/>
    <w:next w:val="58"/>
    <w:qFormat/>
    <w:uiPriority w:val="0"/>
    <w:pPr>
      <w:pBdr>
        <w:top w:val="single" w:color="auto" w:sz="4" w:space="0"/>
        <w:bottom w:val="single" w:color="auto" w:sz="4" w:space="0"/>
        <w:right w:val="single" w:color="auto" w:sz="4" w:space="0"/>
      </w:pBdr>
      <w:spacing w:before="100" w:after="100"/>
      <w:textAlignment w:val="center"/>
    </w:pPr>
    <w:rPr>
      <w:szCs w:val="20"/>
    </w:rPr>
  </w:style>
  <w:style w:type="paragraph" w:customStyle="1" w:styleId="58">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9">
    <w:name w:val="Body Text First Indent1"/>
    <w:basedOn w:val="18"/>
    <w:next w:val="1"/>
    <w:qFormat/>
    <w:uiPriority w:val="0"/>
    <w:pPr>
      <w:adjustRightInd/>
      <w:spacing w:line="240" w:lineRule="auto"/>
      <w:ind w:firstLine="420" w:firstLineChars="100"/>
      <w:jc w:val="both"/>
    </w:pPr>
    <w:rPr>
      <w:rFonts w:ascii="Times New Roman"/>
      <w:kern w:val="2"/>
      <w:sz w:val="21"/>
      <w:szCs w:val="24"/>
    </w:rPr>
  </w:style>
  <w:style w:type="paragraph" w:customStyle="1" w:styleId="60">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szCs w:val="20"/>
    </w:rPr>
  </w:style>
  <w:style w:type="paragraph" w:customStyle="1" w:styleId="61">
    <w:name w:val="Table Text"/>
    <w:basedOn w:val="1"/>
    <w:next w:val="1"/>
    <w:qFormat/>
    <w:uiPriority w:val="0"/>
    <w:rPr>
      <w:sz w:val="24"/>
    </w:rPr>
  </w:style>
  <w:style w:type="paragraph" w:customStyle="1" w:styleId="62">
    <w:name w:val="List Paragraph1"/>
    <w:basedOn w:val="1"/>
    <w:link w:val="114"/>
    <w:qFormat/>
    <w:uiPriority w:val="99"/>
    <w:pPr>
      <w:widowControl w:val="0"/>
      <w:adjustRightInd/>
      <w:snapToGrid/>
      <w:spacing w:after="160"/>
      <w:ind w:firstLine="420" w:firstLineChars="200"/>
      <w:jc w:val="both"/>
    </w:pPr>
    <w:rPr>
      <w:rFonts w:ascii="Calibri" w:hAnsi="Calibri" w:eastAsia="宋体"/>
      <w:sz w:val="21"/>
    </w:rPr>
  </w:style>
  <w:style w:type="paragraph" w:customStyle="1" w:styleId="63">
    <w:name w:val="表格文字"/>
    <w:basedOn w:val="64"/>
    <w:next w:val="18"/>
    <w:qFormat/>
    <w:uiPriority w:val="0"/>
    <w:pPr>
      <w:spacing w:line="360" w:lineRule="auto"/>
      <w:jc w:val="center"/>
    </w:pPr>
    <w:rPr>
      <w:rFonts w:ascii="宋体" w:hAnsi="宋体"/>
      <w:szCs w:val="21"/>
    </w:rPr>
  </w:style>
  <w:style w:type="paragraph" w:customStyle="1" w:styleId="64">
    <w:name w:val="表格文字（两侧对齐）"/>
    <w:basedOn w:val="1"/>
    <w:qFormat/>
    <w:uiPriority w:val="0"/>
    <w:rPr>
      <w:rFonts w:ascii="Times New Roman" w:hAnsi="Times New Roman" w:eastAsia="宋体"/>
      <w:sz w:val="20"/>
      <w:szCs w:val="24"/>
    </w:rPr>
  </w:style>
  <w:style w:type="paragraph" w:customStyle="1" w:styleId="65">
    <w:name w:val="Default"/>
    <w:next w:val="66"/>
    <w:qFormat/>
    <w:uiPriority w:val="0"/>
    <w:pPr>
      <w:widowControl w:val="0"/>
      <w:autoSpaceDE w:val="0"/>
      <w:autoSpaceDN w:val="0"/>
      <w:adjustRightInd w:val="0"/>
      <w:spacing w:after="160" w:line="259" w:lineRule="auto"/>
    </w:pPr>
    <w:rPr>
      <w:rFonts w:ascii="Cambria" w:hAnsi="Cambria" w:eastAsia="宋体" w:cs="Cambria"/>
      <w:color w:val="000000"/>
      <w:sz w:val="24"/>
      <w:szCs w:val="24"/>
      <w:lang w:val="en-US" w:eastAsia="zh-CN" w:bidi="ar-SA"/>
    </w:rPr>
  </w:style>
  <w:style w:type="paragraph" w:customStyle="1" w:styleId="66">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67">
    <w:name w:val="_Style 3"/>
    <w:qFormat/>
    <w:uiPriority w:val="99"/>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68">
    <w:name w:val="font01"/>
    <w:qFormat/>
    <w:uiPriority w:val="0"/>
    <w:rPr>
      <w:rFonts w:ascii="Calibri" w:hAnsi="Calibri" w:cs="Calibri"/>
      <w:color w:val="000000"/>
      <w:sz w:val="16"/>
      <w:szCs w:val="16"/>
      <w:u w:val="none"/>
    </w:rPr>
  </w:style>
  <w:style w:type="character" w:customStyle="1" w:styleId="69">
    <w:name w:val="font11"/>
    <w:basedOn w:val="43"/>
    <w:qFormat/>
    <w:uiPriority w:val="0"/>
    <w:rPr>
      <w:rFonts w:hint="eastAsia" w:ascii="宋体" w:hAnsi="宋体" w:eastAsia="宋体" w:cs="宋体"/>
      <w:color w:val="000000"/>
      <w:sz w:val="16"/>
      <w:szCs w:val="16"/>
      <w:u w:val="none"/>
    </w:rPr>
  </w:style>
  <w:style w:type="character" w:customStyle="1" w:styleId="70">
    <w:name w:val="页眉 字符"/>
    <w:link w:val="29"/>
    <w:qFormat/>
    <w:uiPriority w:val="0"/>
    <w:rPr>
      <w:rFonts w:ascii="Times New Roman" w:hAnsi="Tahoma" w:eastAsia="宋体" w:cs="Times New Roman"/>
      <w:kern w:val="0"/>
      <w:sz w:val="18"/>
    </w:rPr>
  </w:style>
  <w:style w:type="character" w:customStyle="1" w:styleId="71">
    <w:name w:val="正文文本 3 字符"/>
    <w:link w:val="17"/>
    <w:qFormat/>
    <w:uiPriority w:val="0"/>
    <w:rPr>
      <w:rFonts w:ascii="Tahoma" w:hAnsi="Tahoma" w:eastAsia="微软雅黑" w:cs="Times New Roman"/>
      <w:kern w:val="0"/>
      <w:sz w:val="16"/>
      <w:szCs w:val="16"/>
    </w:rPr>
  </w:style>
  <w:style w:type="character" w:customStyle="1" w:styleId="72">
    <w:name w:val="正文文本缩进 字符"/>
    <w:link w:val="19"/>
    <w:qFormat/>
    <w:uiPriority w:val="0"/>
    <w:rPr>
      <w:rFonts w:ascii="Calibri" w:hAnsi="Calibri" w:eastAsia="微软雅黑" w:cs="Times New Roman"/>
      <w:kern w:val="0"/>
      <w:sz w:val="22"/>
      <w:szCs w:val="24"/>
    </w:rPr>
  </w:style>
  <w:style w:type="character" w:customStyle="1" w:styleId="73">
    <w:name w:val="纯文本 字符1"/>
    <w:link w:val="24"/>
    <w:qFormat/>
    <w:uiPriority w:val="0"/>
    <w:rPr>
      <w:rFonts w:ascii="宋体" w:hAnsi="Courier New" w:eastAsia="微软雅黑" w:cs="Times New Roman"/>
      <w:kern w:val="0"/>
      <w:sz w:val="22"/>
      <w:szCs w:val="20"/>
    </w:rPr>
  </w:style>
  <w:style w:type="character" w:customStyle="1" w:styleId="74">
    <w:name w:val="批注文字 字符"/>
    <w:link w:val="16"/>
    <w:qFormat/>
    <w:uiPriority w:val="0"/>
    <w:rPr>
      <w:rFonts w:ascii="Tahoma" w:hAnsi="Tahoma" w:eastAsia="微软雅黑" w:cs="Times New Roman"/>
      <w:kern w:val="0"/>
      <w:sz w:val="22"/>
    </w:rPr>
  </w:style>
  <w:style w:type="character" w:customStyle="1" w:styleId="75">
    <w:name w:val="标题 字符"/>
    <w:link w:val="39"/>
    <w:qFormat/>
    <w:uiPriority w:val="0"/>
    <w:rPr>
      <w:rFonts w:ascii="Cambria" w:hAnsi="Cambria" w:eastAsia="宋体" w:cs="Times New Roman"/>
      <w:b/>
      <w:bCs/>
      <w:kern w:val="0"/>
      <w:sz w:val="32"/>
      <w:szCs w:val="32"/>
    </w:rPr>
  </w:style>
  <w:style w:type="character" w:customStyle="1" w:styleId="76">
    <w:name w:val="标题 4 字符"/>
    <w:link w:val="6"/>
    <w:qFormat/>
    <w:uiPriority w:val="9"/>
    <w:rPr>
      <w:rFonts w:ascii="Tahoma" w:hAnsi="Tahoma" w:eastAsia="黑体" w:cs="Times New Roman"/>
      <w:b/>
      <w:bCs/>
      <w:kern w:val="0"/>
      <w:sz w:val="28"/>
      <w:szCs w:val="28"/>
    </w:rPr>
  </w:style>
  <w:style w:type="character" w:customStyle="1" w:styleId="77">
    <w:name w:val="页脚 字符"/>
    <w:link w:val="28"/>
    <w:qFormat/>
    <w:uiPriority w:val="0"/>
    <w:rPr>
      <w:rFonts w:ascii="Tahoma" w:hAnsi="Tahoma" w:eastAsia="微软雅黑" w:cs="Times New Roman"/>
      <w:kern w:val="0"/>
      <w:sz w:val="18"/>
      <w:szCs w:val="18"/>
    </w:rPr>
  </w:style>
  <w:style w:type="character" w:customStyle="1" w:styleId="78">
    <w:name w:val="font21"/>
    <w:basedOn w:val="43"/>
    <w:qFormat/>
    <w:uiPriority w:val="0"/>
    <w:rPr>
      <w:rFonts w:hint="eastAsia" w:ascii="宋体" w:hAnsi="宋体" w:eastAsia="宋体" w:cs="宋体"/>
      <w:color w:val="000000"/>
      <w:sz w:val="20"/>
      <w:szCs w:val="20"/>
      <w:u w:val="none"/>
    </w:rPr>
  </w:style>
  <w:style w:type="character" w:customStyle="1" w:styleId="79">
    <w:name w:val="日期 字符"/>
    <w:link w:val="25"/>
    <w:qFormat/>
    <w:uiPriority w:val="0"/>
    <w:rPr>
      <w:rFonts w:ascii="Times New Roman" w:hAnsi="Times New Roman" w:eastAsia="楷体_GB2312" w:cs="Times New Roman"/>
      <w:kern w:val="0"/>
      <w:sz w:val="32"/>
    </w:rPr>
  </w:style>
  <w:style w:type="character" w:customStyle="1" w:styleId="80">
    <w:name w:val="font31"/>
    <w:basedOn w:val="43"/>
    <w:qFormat/>
    <w:uiPriority w:val="0"/>
    <w:rPr>
      <w:rFonts w:hint="eastAsia" w:ascii="宋体" w:hAnsi="宋体" w:eastAsia="宋体" w:cs="宋体"/>
      <w:color w:val="000000"/>
      <w:sz w:val="20"/>
      <w:szCs w:val="20"/>
      <w:u w:val="none"/>
    </w:rPr>
  </w:style>
  <w:style w:type="character" w:customStyle="1" w:styleId="81">
    <w:name w:val="标题 3 字符"/>
    <w:link w:val="5"/>
    <w:qFormat/>
    <w:uiPriority w:val="0"/>
    <w:rPr>
      <w:rFonts w:ascii="Times New Roman" w:hAnsi="Times New Roman"/>
      <w:b/>
      <w:sz w:val="28"/>
    </w:rPr>
  </w:style>
  <w:style w:type="character" w:customStyle="1" w:styleId="82">
    <w:name w:val="正文文本 字符"/>
    <w:qFormat/>
    <w:uiPriority w:val="0"/>
    <w:rPr>
      <w:rFonts w:ascii="Calibri" w:hAnsi="Calibri" w:eastAsia="仿宋_GB2312" w:cs="Times New Roman"/>
      <w:kern w:val="0"/>
      <w:sz w:val="24"/>
      <w:szCs w:val="21"/>
    </w:rPr>
  </w:style>
  <w:style w:type="character" w:customStyle="1" w:styleId="83">
    <w:name w:val="样式 黑色"/>
    <w:qFormat/>
    <w:uiPriority w:val="0"/>
    <w:rPr>
      <w:color w:val="000000"/>
      <w:spacing w:val="4"/>
    </w:rPr>
  </w:style>
  <w:style w:type="character" w:customStyle="1" w:styleId="84">
    <w:name w:val="批注框文本 字符"/>
    <w:link w:val="27"/>
    <w:qFormat/>
    <w:uiPriority w:val="0"/>
    <w:rPr>
      <w:rFonts w:ascii="Tahoma" w:hAnsi="Tahoma" w:eastAsia="微软雅黑"/>
      <w:sz w:val="18"/>
      <w:szCs w:val="18"/>
    </w:rPr>
  </w:style>
  <w:style w:type="character" w:customStyle="1" w:styleId="85">
    <w:name w:val="标题 2 字符"/>
    <w:link w:val="4"/>
    <w:qFormat/>
    <w:uiPriority w:val="0"/>
    <w:rPr>
      <w:rFonts w:ascii="Times New Roman" w:hAnsi="Times New Roman" w:eastAsia="宋体" w:cs="Times New Roman"/>
      <w:b/>
      <w:sz w:val="28"/>
      <w:szCs w:val="20"/>
    </w:rPr>
  </w:style>
  <w:style w:type="character" w:customStyle="1" w:styleId="86">
    <w:name w:val="apple-style-span"/>
    <w:qFormat/>
    <w:uiPriority w:val="0"/>
  </w:style>
  <w:style w:type="character" w:customStyle="1" w:styleId="87">
    <w:name w:val="apple-converted-space"/>
    <w:qFormat/>
    <w:uiPriority w:val="0"/>
  </w:style>
  <w:style w:type="character" w:customStyle="1" w:styleId="88">
    <w:name w:val="批注主题 字符"/>
    <w:link w:val="40"/>
    <w:semiHidden/>
    <w:qFormat/>
    <w:uiPriority w:val="99"/>
    <w:rPr>
      <w:rFonts w:ascii="Tahoma" w:hAnsi="Tahoma" w:eastAsia="微软雅黑" w:cs="Times New Roman"/>
      <w:b/>
      <w:bCs/>
      <w:kern w:val="0"/>
      <w:sz w:val="22"/>
      <w:szCs w:val="22"/>
    </w:rPr>
  </w:style>
  <w:style w:type="paragraph" w:customStyle="1" w:styleId="89">
    <w:name w:val="列出段落1"/>
    <w:basedOn w:val="1"/>
    <w:qFormat/>
    <w:uiPriority w:val="34"/>
    <w:pPr>
      <w:spacing w:before="161"/>
      <w:ind w:left="291" w:firstLine="429"/>
    </w:pPr>
    <w:rPr>
      <w:rFonts w:ascii="宋体" w:hAnsi="宋体" w:eastAsia="宋体" w:cs="宋体"/>
      <w:lang w:val="zh-CN" w:bidi="zh-CN"/>
    </w:rPr>
  </w:style>
  <w:style w:type="paragraph" w:customStyle="1" w:styleId="90">
    <w:name w:val="Table Paragraph"/>
    <w:basedOn w:val="1"/>
    <w:qFormat/>
    <w:uiPriority w:val="1"/>
    <w:rPr>
      <w:rFonts w:ascii="宋体" w:hAnsi="宋体" w:eastAsia="宋体" w:cs="宋体"/>
      <w:lang w:val="zh-CN" w:bidi="zh-CN"/>
    </w:rPr>
  </w:style>
  <w:style w:type="paragraph" w:customStyle="1" w:styleId="91">
    <w:name w:val="纯文本2"/>
    <w:basedOn w:val="1"/>
    <w:qFormat/>
    <w:uiPriority w:val="0"/>
    <w:pPr>
      <w:widowControl w:val="0"/>
      <w:snapToGrid/>
      <w:spacing w:after="0"/>
      <w:jc w:val="both"/>
      <w:textAlignment w:val="baseline"/>
    </w:pPr>
    <w:rPr>
      <w:rFonts w:ascii="宋体" w:hAnsi="Courier New" w:eastAsia="楷体_GB2312"/>
      <w:kern w:val="2"/>
      <w:sz w:val="26"/>
      <w:szCs w:val="20"/>
    </w:rPr>
  </w:style>
  <w:style w:type="paragraph" w:customStyle="1" w:styleId="92">
    <w:name w:val="样式1"/>
    <w:basedOn w:val="4"/>
    <w:qFormat/>
    <w:uiPriority w:val="0"/>
    <w:pPr>
      <w:jc w:val="center"/>
    </w:pPr>
    <w:rPr>
      <w:rFonts w:ascii="宋体" w:hAnsi="宋体"/>
      <w:sz w:val="36"/>
      <w:szCs w:val="36"/>
    </w:rPr>
  </w:style>
  <w:style w:type="paragraph" w:customStyle="1" w:styleId="93">
    <w:name w:val="参数正文"/>
    <w:basedOn w:val="1"/>
    <w:qFormat/>
    <w:uiPriority w:val="0"/>
    <w:pPr>
      <w:spacing w:line="360" w:lineRule="auto"/>
      <w:ind w:firstLine="480" w:firstLineChars="200"/>
    </w:pPr>
    <w:rPr>
      <w:rFonts w:ascii="宋体" w:hAnsi="宋体" w:eastAsia="宋体"/>
      <w:sz w:val="24"/>
      <w:szCs w:val="24"/>
    </w:rPr>
  </w:style>
  <w:style w:type="paragraph" w:customStyle="1" w:styleId="94">
    <w:name w:val="【正文】"/>
    <w:basedOn w:val="1"/>
    <w:qFormat/>
    <w:uiPriority w:val="0"/>
    <w:pPr>
      <w:widowControl w:val="0"/>
      <w:adjustRightInd/>
      <w:snapToGrid/>
      <w:spacing w:after="0" w:line="360" w:lineRule="auto"/>
      <w:ind w:firstLine="200" w:firstLineChars="200"/>
      <w:jc w:val="both"/>
    </w:pPr>
    <w:rPr>
      <w:rFonts w:ascii="Calibri" w:hAnsi="Calibri" w:eastAsia="宋体" w:cs="黑体"/>
      <w:kern w:val="2"/>
      <w:sz w:val="24"/>
    </w:rPr>
  </w:style>
  <w:style w:type="paragraph" w:customStyle="1" w:styleId="95">
    <w:name w:val="正文_17"/>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customStyle="1" w:styleId="9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7">
    <w:name w:val="列表段落1"/>
    <w:basedOn w:val="1"/>
    <w:qFormat/>
    <w:uiPriority w:val="34"/>
    <w:pPr>
      <w:ind w:firstLine="420" w:firstLineChars="200"/>
    </w:pPr>
  </w:style>
  <w:style w:type="paragraph" w:customStyle="1" w:styleId="98">
    <w:name w:val="样式 列表编号 + 段后: 0.5 行"/>
    <w:basedOn w:val="13"/>
    <w:qFormat/>
    <w:uiPriority w:val="0"/>
    <w:pPr>
      <w:numPr>
        <w:ilvl w:val="0"/>
        <w:numId w:val="0"/>
      </w:numPr>
      <w:spacing w:afterLines="50"/>
      <w:ind w:left="360" w:hanging="360"/>
    </w:pPr>
    <w:rPr>
      <w:rFonts w:ascii="Times New Roman" w:hAnsi="Times New Roman"/>
      <w:szCs w:val="20"/>
    </w:rPr>
  </w:style>
  <w:style w:type="paragraph" w:customStyle="1" w:styleId="99">
    <w:name w:val="列出段落11"/>
    <w:basedOn w:val="1"/>
    <w:qFormat/>
    <w:uiPriority w:val="34"/>
    <w:pPr>
      <w:ind w:firstLine="420" w:firstLineChars="200"/>
    </w:pPr>
  </w:style>
  <w:style w:type="paragraph" w:customStyle="1" w:styleId="100">
    <w:name w:val="参数表格"/>
    <w:basedOn w:val="93"/>
    <w:qFormat/>
    <w:uiPriority w:val="0"/>
    <w:pPr>
      <w:ind w:firstLine="0" w:firstLineChars="0"/>
    </w:pPr>
  </w:style>
  <w:style w:type="paragraph" w:customStyle="1" w:styleId="101">
    <w:name w:val="表格内容"/>
    <w:basedOn w:val="1"/>
    <w:qFormat/>
    <w:uiPriority w:val="0"/>
    <w:pPr>
      <w:jc w:val="center"/>
    </w:pPr>
    <w:rPr>
      <w:sz w:val="21"/>
      <w:szCs w:val="21"/>
    </w:rPr>
  </w:style>
  <w:style w:type="paragraph" w:customStyle="1" w:styleId="102">
    <w:name w:val="修订1"/>
    <w:hidden/>
    <w:unhideWhenUsed/>
    <w:qFormat/>
    <w:uiPriority w:val="99"/>
    <w:pPr>
      <w:spacing w:after="160" w:line="259" w:lineRule="auto"/>
    </w:pPr>
    <w:rPr>
      <w:rFonts w:ascii="Tahoma" w:hAnsi="Tahoma" w:eastAsia="微软雅黑" w:cs="Times New Roman"/>
      <w:sz w:val="22"/>
      <w:szCs w:val="22"/>
      <w:lang w:val="en-US" w:eastAsia="zh-CN" w:bidi="ar-SA"/>
    </w:rPr>
  </w:style>
  <w:style w:type="character" w:customStyle="1" w:styleId="103">
    <w:name w:val="小正文 Char"/>
    <w:link w:val="104"/>
    <w:qFormat/>
    <w:locked/>
    <w:uiPriority w:val="0"/>
    <w:rPr>
      <w:rFonts w:ascii="仿宋_GB2312" w:hAnsi="宋体" w:eastAsia="仿宋_GB2312"/>
      <w:sz w:val="28"/>
      <w:szCs w:val="28"/>
    </w:rPr>
  </w:style>
  <w:style w:type="paragraph" w:customStyle="1" w:styleId="104">
    <w:name w:val="小正文"/>
    <w:basedOn w:val="1"/>
    <w:link w:val="103"/>
    <w:qFormat/>
    <w:uiPriority w:val="0"/>
    <w:pPr>
      <w:widowControl w:val="0"/>
      <w:adjustRightInd/>
      <w:snapToGrid/>
      <w:spacing w:after="0" w:line="560" w:lineRule="exact"/>
      <w:ind w:firstLine="560" w:firstLineChars="200"/>
    </w:pPr>
    <w:rPr>
      <w:rFonts w:ascii="仿宋_GB2312" w:hAnsi="宋体" w:eastAsia="仿宋_GB2312"/>
      <w:sz w:val="28"/>
      <w:szCs w:val="28"/>
    </w:rPr>
  </w:style>
  <w:style w:type="character" w:customStyle="1" w:styleId="105">
    <w:name w:val="纯文本 字符"/>
    <w:qFormat/>
    <w:uiPriority w:val="0"/>
    <w:rPr>
      <w:rFonts w:ascii="宋体" w:hAnsi="Courier New" w:eastAsia="宋体"/>
      <w:kern w:val="2"/>
      <w:sz w:val="24"/>
      <w:szCs w:val="24"/>
      <w:lang w:val="en-US" w:eastAsia="zh-CN" w:bidi="ar-SA"/>
    </w:rPr>
  </w:style>
  <w:style w:type="paragraph" w:customStyle="1" w:styleId="106">
    <w:name w:val="正文段"/>
    <w:basedOn w:val="1"/>
    <w:qFormat/>
    <w:uiPriority w:val="0"/>
    <w:pPr>
      <w:spacing w:afterLines="50"/>
      <w:ind w:firstLine="200" w:firstLineChars="200"/>
    </w:pPr>
    <w:rPr>
      <w:sz w:val="24"/>
    </w:rPr>
  </w:style>
  <w:style w:type="character" w:customStyle="1" w:styleId="107">
    <w:name w:val="批注文字 Char1"/>
    <w:basedOn w:val="43"/>
    <w:qFormat/>
    <w:uiPriority w:val="0"/>
    <w:rPr>
      <w:rFonts w:ascii="仿宋_GB2312" w:hAnsi="Verdana" w:eastAsia="仿宋_GB2312"/>
      <w:kern w:val="2"/>
      <w:sz w:val="28"/>
      <w:szCs w:val="28"/>
      <w:lang w:val="en-US" w:eastAsia="zh-CN" w:bidi="ar-SA"/>
    </w:rPr>
  </w:style>
  <w:style w:type="character" w:customStyle="1" w:styleId="108">
    <w:name w:val="正文缩进 字符"/>
    <w:basedOn w:val="43"/>
    <w:link w:val="14"/>
    <w:qFormat/>
    <w:uiPriority w:val="0"/>
    <w:rPr>
      <w:rFonts w:ascii="宋体" w:hAnsi="Verdana"/>
      <w:snapToGrid w:val="0"/>
      <w:color w:val="000000"/>
      <w:kern w:val="28"/>
      <w:sz w:val="28"/>
    </w:rPr>
  </w:style>
  <w:style w:type="character" w:customStyle="1" w:styleId="109">
    <w:name w:val="正文文本缩进 3 字符"/>
    <w:basedOn w:val="43"/>
    <w:link w:val="33"/>
    <w:qFormat/>
    <w:uiPriority w:val="99"/>
    <w:rPr>
      <w:rFonts w:ascii="Tahoma" w:hAnsi="Tahoma" w:eastAsia="微软雅黑"/>
      <w:sz w:val="16"/>
      <w:szCs w:val="16"/>
    </w:rPr>
  </w:style>
  <w:style w:type="paragraph" w:customStyle="1" w:styleId="110">
    <w:name w:val="l正文"/>
    <w:basedOn w:val="1"/>
    <w:qFormat/>
    <w:uiPriority w:val="0"/>
    <w:pPr>
      <w:spacing w:line="300" w:lineRule="auto"/>
    </w:pPr>
    <w:rPr>
      <w:rFonts w:ascii="楷体_GB2312" w:hAnsi="Times" w:eastAsia="楷体_GB2312"/>
    </w:rPr>
  </w:style>
  <w:style w:type="paragraph" w:customStyle="1" w:styleId="111">
    <w:name w:val="Proposals body"/>
    <w:basedOn w:val="1"/>
    <w:next w:val="1"/>
    <w:qFormat/>
    <w:uiPriority w:val="0"/>
    <w:pPr>
      <w:spacing w:line="360" w:lineRule="auto"/>
    </w:pPr>
    <w:rPr>
      <w:rFonts w:ascii="宋体"/>
      <w:snapToGrid w:val="0"/>
      <w:color w:val="000000"/>
      <w:sz w:val="24"/>
      <w:szCs w:val="20"/>
    </w:rPr>
  </w:style>
  <w:style w:type="paragraph" w:customStyle="1" w:styleId="112">
    <w:name w:val="myfont9b"/>
    <w:basedOn w:val="1"/>
    <w:qFormat/>
    <w:uiPriority w:val="0"/>
    <w:pPr>
      <w:spacing w:before="100" w:beforeAutospacing="1" w:after="100" w:afterAutospacing="1" w:line="300" w:lineRule="atLeast"/>
    </w:pPr>
    <w:rPr>
      <w:rFonts w:ascii="宋体" w:hAnsi="宋体"/>
      <w:sz w:val="18"/>
      <w:szCs w:val="18"/>
    </w:rPr>
  </w:style>
  <w:style w:type="paragraph" w:customStyle="1" w:styleId="113">
    <w:name w:val="[Normal]"/>
    <w:qFormat/>
    <w:uiPriority w:val="0"/>
    <w:pPr>
      <w:spacing w:after="160" w:line="259" w:lineRule="auto"/>
    </w:pPr>
    <w:rPr>
      <w:rFonts w:ascii="宋体" w:hAnsi="宋体" w:eastAsia="宋体" w:cs="Times New Roman"/>
      <w:sz w:val="24"/>
      <w:szCs w:val="22"/>
      <w:lang w:val="zh-CN" w:eastAsia="zh-CN" w:bidi="ar-SA"/>
    </w:rPr>
  </w:style>
  <w:style w:type="character" w:customStyle="1" w:styleId="114">
    <w:name w:val="列表段落 字符"/>
    <w:link w:val="62"/>
    <w:qFormat/>
    <w:uiPriority w:val="0"/>
    <w:rPr>
      <w:rFonts w:ascii="Calibri" w:hAnsi="Calibri"/>
      <w:sz w:val="21"/>
      <w:szCs w:val="22"/>
    </w:rPr>
  </w:style>
  <w:style w:type="paragraph" w:customStyle="1" w:styleId="115">
    <w:name w:val="无间隔1"/>
    <w:qFormat/>
    <w:uiPriority w:val="0"/>
    <w:pPr>
      <w:spacing w:after="160" w:line="259" w:lineRule="auto"/>
      <w:jc w:val="center"/>
    </w:pPr>
    <w:rPr>
      <w:rFonts w:ascii="Calibri" w:hAnsi="Calibri" w:eastAsia="??" w:cs="宋体"/>
      <w:sz w:val="22"/>
      <w:szCs w:val="22"/>
      <w:lang w:val="en-US" w:eastAsia="en-US" w:bidi="ar-SA"/>
    </w:rPr>
  </w:style>
  <w:style w:type="character" w:customStyle="1" w:styleId="116">
    <w:name w:val="NormalCharacter"/>
    <w:qFormat/>
    <w:uiPriority w:val="0"/>
  </w:style>
  <w:style w:type="character" w:customStyle="1" w:styleId="117">
    <w:name w:val="标题 5 字符"/>
    <w:basedOn w:val="43"/>
    <w:link w:val="7"/>
    <w:qFormat/>
    <w:uiPriority w:val="0"/>
    <w:rPr>
      <w:b/>
      <w:bCs/>
      <w:sz w:val="28"/>
      <w:szCs w:val="28"/>
    </w:rPr>
  </w:style>
  <w:style w:type="character" w:customStyle="1" w:styleId="118">
    <w:name w:val="标题 6 字符"/>
    <w:basedOn w:val="43"/>
    <w:link w:val="8"/>
    <w:qFormat/>
    <w:uiPriority w:val="0"/>
    <w:rPr>
      <w:rFonts w:ascii="Arial" w:hAnsi="Arial"/>
      <w:b/>
      <w:bCs/>
      <w:sz w:val="28"/>
      <w:szCs w:val="18"/>
    </w:rPr>
  </w:style>
  <w:style w:type="character" w:customStyle="1" w:styleId="119">
    <w:name w:val="标题 7 字符"/>
    <w:basedOn w:val="43"/>
    <w:link w:val="9"/>
    <w:qFormat/>
    <w:uiPriority w:val="0"/>
    <w:rPr>
      <w:rFonts w:ascii="Arial Narrow" w:hAnsi="Arial Narrow"/>
      <w:b/>
      <w:bCs/>
      <w:iCs/>
      <w:szCs w:val="24"/>
      <w:lang w:eastAsia="en-US"/>
    </w:rPr>
  </w:style>
  <w:style w:type="character" w:customStyle="1" w:styleId="120">
    <w:name w:val="标题 8 字符"/>
    <w:basedOn w:val="43"/>
    <w:link w:val="10"/>
    <w:qFormat/>
    <w:uiPriority w:val="0"/>
    <w:rPr>
      <w:rFonts w:ascii="Arial" w:hAnsi="Arial" w:eastAsia="黑体"/>
      <w:sz w:val="24"/>
      <w:szCs w:val="24"/>
    </w:rPr>
  </w:style>
  <w:style w:type="character" w:customStyle="1" w:styleId="121">
    <w:name w:val="标题 9 字符"/>
    <w:basedOn w:val="43"/>
    <w:link w:val="11"/>
    <w:qFormat/>
    <w:uiPriority w:val="0"/>
    <w:rPr>
      <w:rFonts w:ascii="Arial" w:hAnsi="Arial" w:eastAsia="黑体"/>
      <w:szCs w:val="21"/>
    </w:rPr>
  </w:style>
  <w:style w:type="character" w:customStyle="1" w:styleId="122">
    <w:name w:val="正文文本 字符1"/>
    <w:basedOn w:val="43"/>
    <w:link w:val="18"/>
    <w:qFormat/>
    <w:uiPriority w:val="0"/>
    <w:rPr>
      <w:rFonts w:ascii="Calibri" w:hAnsi="Calibri"/>
      <w:kern w:val="2"/>
      <w:sz w:val="24"/>
      <w:szCs w:val="28"/>
    </w:rPr>
  </w:style>
  <w:style w:type="character" w:customStyle="1" w:styleId="123">
    <w:name w:val="标书正文:  0.74 厘米 Char Char"/>
    <w:qFormat/>
    <w:uiPriority w:val="0"/>
    <w:rPr>
      <w:rFonts w:ascii="宋体" w:hAnsi="宋体"/>
      <w:sz w:val="24"/>
      <w:szCs w:val="21"/>
    </w:rPr>
  </w:style>
  <w:style w:type="character" w:customStyle="1" w:styleId="124">
    <w:name w:val="标题 1 Char1"/>
    <w:qFormat/>
    <w:uiPriority w:val="0"/>
    <w:rPr>
      <w:spacing w:val="0"/>
    </w:rPr>
  </w:style>
  <w:style w:type="paragraph" w:customStyle="1" w:styleId="125">
    <w:name w:val="Numbered List"/>
    <w:basedOn w:val="5"/>
    <w:qFormat/>
    <w:uiPriority w:val="0"/>
    <w:pPr>
      <w:numPr>
        <w:numId w:val="0"/>
      </w:numPr>
    </w:pPr>
  </w:style>
  <w:style w:type="paragraph" w:customStyle="1" w:styleId="126">
    <w:name w:val="标题2-1"/>
    <w:basedOn w:val="1"/>
    <w:qFormat/>
    <w:uiPriority w:val="0"/>
    <w:pPr>
      <w:spacing w:after="156" w:afterLines="50" w:line="360" w:lineRule="auto"/>
      <w:ind w:firstLine="567"/>
    </w:pPr>
    <w:rPr>
      <w:rFonts w:ascii="宋体" w:hAnsi="宋体"/>
      <w:b/>
      <w:sz w:val="24"/>
      <w:szCs w:val="24"/>
    </w:rPr>
  </w:style>
  <w:style w:type="character" w:customStyle="1" w:styleId="127">
    <w:name w:val="正文文本首行缩进 字符"/>
    <w:basedOn w:val="122"/>
    <w:link w:val="2"/>
    <w:qFormat/>
    <w:uiPriority w:val="0"/>
    <w:rPr>
      <w:rFonts w:ascii="Calibri" w:hAnsi="Calibri" w:eastAsia="楷体_GB2312"/>
      <w:b/>
      <w:bCs/>
      <w:kern w:val="2"/>
      <w:sz w:val="24"/>
      <w:szCs w:val="28"/>
      <w:lang w:eastAsia="en-US"/>
    </w:rPr>
  </w:style>
  <w:style w:type="character" w:customStyle="1" w:styleId="128">
    <w:name w:val="fontstyle01"/>
    <w:qFormat/>
    <w:uiPriority w:val="0"/>
    <w:rPr>
      <w:rFonts w:hint="eastAsia" w:ascii="宋体" w:hAnsi="宋体" w:eastAsia="宋体"/>
      <w:color w:val="000000"/>
      <w:sz w:val="24"/>
      <w:szCs w:val="24"/>
    </w:rPr>
  </w:style>
  <w:style w:type="paragraph" w:customStyle="1" w:styleId="129">
    <w:name w:val="首行缩进"/>
    <w:basedOn w:val="1"/>
    <w:qFormat/>
    <w:uiPriority w:val="0"/>
    <w:pPr>
      <w:spacing w:line="360" w:lineRule="auto"/>
      <w:ind w:firstLine="420" w:firstLineChars="200"/>
    </w:pPr>
    <w:rPr>
      <w:rFonts w:ascii="宋体" w:hAnsi="宋体"/>
    </w:rPr>
  </w:style>
  <w:style w:type="paragraph" w:customStyle="1" w:styleId="130">
    <w:name w:val="Heading #1|1"/>
    <w:basedOn w:val="1"/>
    <w:qFormat/>
    <w:uiPriority w:val="0"/>
    <w:pPr>
      <w:spacing w:before="100" w:after="300"/>
      <w:jc w:val="center"/>
      <w:outlineLvl w:val="0"/>
    </w:pPr>
    <w:rPr>
      <w:rFonts w:ascii="宋体" w:hAnsi="宋体" w:eastAsia="宋体" w:cs="宋体"/>
      <w:sz w:val="44"/>
      <w:szCs w:val="44"/>
      <w:lang w:val="zh-TW" w:eastAsia="zh-TW" w:bidi="zh-TW"/>
    </w:rPr>
  </w:style>
  <w:style w:type="paragraph" w:customStyle="1" w:styleId="131">
    <w:name w:val="Body text|1"/>
    <w:basedOn w:val="1"/>
    <w:qFormat/>
    <w:uiPriority w:val="0"/>
    <w:pPr>
      <w:spacing w:line="329" w:lineRule="auto"/>
    </w:pPr>
    <w:rPr>
      <w:rFonts w:ascii="宋体" w:hAnsi="宋体" w:eastAsia="宋体" w:cs="宋体"/>
      <w:sz w:val="20"/>
      <w:szCs w:val="20"/>
      <w:lang w:val="zh-TW" w:eastAsia="zh-TW" w:bidi="zh-TW"/>
    </w:rPr>
  </w:style>
  <w:style w:type="paragraph" w:customStyle="1" w:styleId="132">
    <w:name w:val="Heading #2|1"/>
    <w:basedOn w:val="1"/>
    <w:qFormat/>
    <w:uiPriority w:val="0"/>
    <w:pPr>
      <w:spacing w:line="313" w:lineRule="exact"/>
      <w:outlineLvl w:val="1"/>
    </w:pPr>
    <w:rPr>
      <w:rFonts w:ascii="宋体" w:hAnsi="宋体" w:eastAsia="宋体" w:cs="宋体"/>
      <w:lang w:val="zh-TW" w:eastAsia="zh-TW" w:bidi="zh-TW"/>
    </w:rPr>
  </w:style>
  <w:style w:type="paragraph" w:customStyle="1" w:styleId="133">
    <w:name w:val="Body text|3"/>
    <w:basedOn w:val="1"/>
    <w:qFormat/>
    <w:uiPriority w:val="0"/>
    <w:pPr>
      <w:spacing w:line="312" w:lineRule="exact"/>
    </w:pPr>
    <w:rPr>
      <w:rFonts w:ascii="宋体" w:hAnsi="宋体" w:eastAsia="宋体" w:cs="宋体"/>
      <w:lang w:val="zh-TW" w:eastAsia="zh-TW" w:bidi="zh-TW"/>
    </w:rPr>
  </w:style>
  <w:style w:type="paragraph" w:customStyle="1" w:styleId="134">
    <w:name w:val="列表段落2"/>
    <w:basedOn w:val="1"/>
    <w:qFormat/>
    <w:uiPriority w:val="99"/>
    <w:pPr>
      <w:ind w:firstLine="420" w:firstLineChars="200"/>
    </w:pPr>
  </w:style>
  <w:style w:type="paragraph" w:customStyle="1" w:styleId="135">
    <w:name w:val="Other|1"/>
    <w:basedOn w:val="1"/>
    <w:qFormat/>
    <w:uiPriority w:val="0"/>
    <w:pPr>
      <w:spacing w:line="329" w:lineRule="auto"/>
    </w:pPr>
    <w:rPr>
      <w:rFonts w:ascii="宋体" w:hAnsi="宋体" w:eastAsia="宋体" w:cs="宋体"/>
      <w:sz w:val="20"/>
      <w:szCs w:val="20"/>
      <w:lang w:val="zh-TW" w:eastAsia="zh-TW" w:bidi="zh-TW"/>
    </w:rPr>
  </w:style>
  <w:style w:type="paragraph" w:customStyle="1" w:styleId="136">
    <w:name w:val="Picture caption|1"/>
    <w:basedOn w:val="1"/>
    <w:qFormat/>
    <w:uiPriority w:val="0"/>
    <w:pPr>
      <w:spacing w:line="310" w:lineRule="exact"/>
    </w:pPr>
    <w:rPr>
      <w:rFonts w:ascii="宋体" w:hAnsi="宋体" w:eastAsia="宋体" w:cs="宋体"/>
      <w:sz w:val="20"/>
      <w:szCs w:val="20"/>
      <w:lang w:val="zh-TW" w:eastAsia="zh-TW" w:bidi="zh-TW"/>
    </w:rPr>
  </w:style>
  <w:style w:type="paragraph" w:customStyle="1" w:styleId="137">
    <w:name w:val="Heading #3|1"/>
    <w:basedOn w:val="1"/>
    <w:qFormat/>
    <w:uiPriority w:val="0"/>
    <w:pPr>
      <w:ind w:hanging="1760"/>
      <w:outlineLvl w:val="2"/>
    </w:pPr>
    <w:rPr>
      <w:b/>
      <w:bCs/>
      <w:lang w:val="zh-CN"/>
    </w:rPr>
  </w:style>
  <w:style w:type="paragraph" w:customStyle="1" w:styleId="138">
    <w:name w:val="Table caption|1"/>
    <w:basedOn w:val="1"/>
    <w:qFormat/>
    <w:uiPriority w:val="0"/>
    <w:pPr>
      <w:spacing w:line="358" w:lineRule="exact"/>
      <w:ind w:firstLine="440"/>
    </w:pPr>
    <w:rPr>
      <w:rFonts w:ascii="宋体" w:hAnsi="宋体" w:eastAsia="宋体" w:cs="宋体"/>
      <w:sz w:val="20"/>
      <w:szCs w:val="20"/>
      <w:lang w:val="zh-TW" w:eastAsia="zh-TW" w:bidi="zh-TW"/>
    </w:rPr>
  </w:style>
  <w:style w:type="paragraph" w:customStyle="1" w:styleId="139">
    <w:name w:val="Body text|2"/>
    <w:basedOn w:val="1"/>
    <w:qFormat/>
    <w:uiPriority w:val="0"/>
    <w:pPr>
      <w:spacing w:after="480"/>
    </w:pPr>
    <w:rPr>
      <w:sz w:val="20"/>
      <w:szCs w:val="20"/>
    </w:rPr>
  </w:style>
  <w:style w:type="paragraph" w:customStyle="1" w:styleId="140">
    <w:name w:val="Default Text"/>
    <w:basedOn w:val="1"/>
    <w:qFormat/>
    <w:uiPriority w:val="99"/>
    <w:rPr>
      <w:rFonts w:eastAsia="仿宋_GB2312" w:cs="Tahoma"/>
      <w:sz w:val="24"/>
      <w:szCs w:val="24"/>
      <w:lang w:eastAsia="en-US"/>
    </w:rPr>
  </w:style>
  <w:style w:type="character" w:customStyle="1" w:styleId="141">
    <w:name w:val="font41"/>
    <w:basedOn w:val="43"/>
    <w:qFormat/>
    <w:uiPriority w:val="0"/>
    <w:rPr>
      <w:rFonts w:hint="eastAsia" w:ascii="微软雅黑" w:hAnsi="微软雅黑" w:eastAsia="微软雅黑" w:cs="微软雅黑"/>
      <w:color w:val="000000"/>
      <w:sz w:val="20"/>
      <w:szCs w:val="20"/>
      <w:u w:val="none"/>
    </w:rPr>
  </w:style>
  <w:style w:type="character" w:customStyle="1" w:styleId="142">
    <w:name w:val="font51"/>
    <w:basedOn w:val="43"/>
    <w:qFormat/>
    <w:uiPriority w:val="0"/>
    <w:rPr>
      <w:rFonts w:hint="eastAsia" w:ascii="微软雅黑" w:hAnsi="微软雅黑" w:eastAsia="微软雅黑" w:cs="微软雅黑"/>
      <w:color w:val="000000"/>
      <w:sz w:val="20"/>
      <w:szCs w:val="20"/>
      <w:u w:val="none"/>
    </w:rPr>
  </w:style>
  <w:style w:type="paragraph" w:customStyle="1" w:styleId="143">
    <w:name w:val="Style Body Text Indent + Verdana 10 pt"/>
    <w:basedOn w:val="19"/>
    <w:qFormat/>
    <w:uiPriority w:val="0"/>
    <w:pPr>
      <w:widowControl/>
      <w:spacing w:line="360" w:lineRule="auto"/>
      <w:ind w:left="360" w:leftChars="0"/>
    </w:pPr>
    <w:rPr>
      <w:rFonts w:ascii="Verdana" w:hAnsi="Verdana"/>
      <w:sz w:val="24"/>
    </w:rPr>
  </w:style>
  <w:style w:type="paragraph" w:customStyle="1" w:styleId="144">
    <w:name w:val="p0"/>
    <w:basedOn w:val="1"/>
    <w:qFormat/>
    <w:uiPriority w:val="0"/>
    <w:rPr>
      <w:szCs w:val="21"/>
    </w:rPr>
  </w:style>
  <w:style w:type="paragraph" w:customStyle="1" w:styleId="145">
    <w:name w:val="正文_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6">
    <w:name w:val="Char Char"/>
    <w:basedOn w:val="43"/>
    <w:qFormat/>
    <w:uiPriority w:val="0"/>
    <w:rPr>
      <w:rFonts w:ascii="宋体" w:hAnsi="宋体" w:eastAsia="宋体"/>
      <w:sz w:val="24"/>
      <w:szCs w:val="24"/>
      <w:lang w:val="en-US" w:eastAsia="zh-CN" w:bidi="ar-SA"/>
    </w:rPr>
  </w:style>
  <w:style w:type="paragraph" w:customStyle="1" w:styleId="147">
    <w:name w:val="正文2"/>
    <w:basedOn w:val="1"/>
    <w:qFormat/>
    <w:uiPriority w:val="0"/>
    <w:pPr>
      <w:spacing w:before="156" w:line="360" w:lineRule="auto"/>
      <w:ind w:firstLine="510" w:firstLineChars="200"/>
    </w:pPr>
    <w:rPr>
      <w:sz w:val="24"/>
    </w:rPr>
  </w:style>
  <w:style w:type="paragraph" w:customStyle="1" w:styleId="148">
    <w:name w:val="修订2"/>
    <w:hidden/>
    <w:semiHidden/>
    <w:qFormat/>
    <w:uiPriority w:val="99"/>
    <w:rPr>
      <w:rFonts w:ascii="Tahoma" w:hAnsi="Tahoma" w:eastAsia="微软雅黑" w:cs="Times New Roman"/>
      <w:sz w:val="22"/>
      <w:szCs w:val="22"/>
      <w:lang w:val="en-US" w:eastAsia="zh-CN" w:bidi="ar-SA"/>
    </w:rPr>
  </w:style>
  <w:style w:type="paragraph" w:customStyle="1" w:styleId="149">
    <w:name w:val="Revision"/>
    <w:hidden/>
    <w:semiHidden/>
    <w:qFormat/>
    <w:uiPriority w:val="99"/>
    <w:rPr>
      <w:rFonts w:ascii="Tahoma" w:hAnsi="Tahoma" w:eastAsia="微软雅黑" w:cs="Times New Roman"/>
      <w:sz w:val="22"/>
      <w:szCs w:val="22"/>
      <w:lang w:val="en-US" w:eastAsia="zh-CN" w:bidi="ar-SA"/>
    </w:rPr>
  </w:style>
  <w:style w:type="paragraph" w:customStyle="1" w:styleId="150">
    <w:name w:val="Plain Text"/>
    <w:basedOn w:val="1"/>
    <w:qFormat/>
    <w:uiPriority w:val="0"/>
    <w:rPr>
      <w:rFonts w:hint="eastAsia" w:ascii="宋体" w:hAnsi="Courier New"/>
      <w:kern w:val="2"/>
      <w:sz w:val="21"/>
    </w:rPr>
  </w:style>
  <w:style w:type="paragraph" w:customStyle="1" w:styleId="15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2">
    <w:name w:val="纯文本1"/>
    <w:basedOn w:val="1"/>
    <w:qFormat/>
    <w:uiPriority w:val="0"/>
    <w:pPr>
      <w:adjustRightInd/>
    </w:pPr>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19978</Words>
  <Characters>21892</Characters>
  <Lines>968</Lines>
  <Paragraphs>978</Paragraphs>
  <TotalTime>6</TotalTime>
  <ScaleCrop>false</ScaleCrop>
  <LinksUpToDate>false</LinksUpToDate>
  <CharactersWithSpaces>22913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2021-09-20T01:47:00Z</dcterms:created>
  <dc:creator>king</dc:creator>
  <cp:lastModifiedBy>Administrator</cp:lastModifiedBy>
  <cp:lastPrinted>2024-10-12T18:45:00Z</cp:lastPrinted>
  <dcterms:modified xsi:type="dcterms:W3CDTF">2025-12-13T04:56:25Z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5D24C9CADE874B55ACD5460E93B7CA72</vt:lpwstr>
  </property>
  <property fmtid="{D5CDD505-2E9C-101B-9397-08002B2CF9AE}" pid="4" name="KSOTemplateDocerSaveRecord">
    <vt:lpwstr>eyJoZGlkIjoiYjcyNDc5NTNlYWRmMjMxMTgwOGM3ZmQ0ZTFjZGM3N2IiLCJ1c2VySWQiOiIyNjA1MTU0MDUifQ==</vt:lpwstr>
  </property>
</Properties>
</file>