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cs="宋体"/>
          <w:b/>
          <w:color w:val="000000"/>
          <w:spacing w:val="-11"/>
          <w:kern w:val="0"/>
          <w:sz w:val="44"/>
          <w:szCs w:val="44"/>
          <w:lang w:val="en-US" w:eastAsia="zh-CN"/>
        </w:rPr>
      </w:pPr>
      <w:r>
        <w:rPr>
          <w:rFonts w:hint="eastAsia" w:ascii="宋体" w:hAnsi="宋体" w:cs="宋体"/>
          <w:b/>
          <w:color w:val="000000"/>
          <w:spacing w:val="-11"/>
          <w:kern w:val="0"/>
          <w:sz w:val="44"/>
          <w:szCs w:val="44"/>
          <w:lang w:val="en-US" w:eastAsia="zh-CN"/>
        </w:rPr>
        <w:t>新建学生公寓家具</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8</w:t>
      </w:r>
      <w:r>
        <w:rPr>
          <w:b/>
          <w:bCs/>
          <w:color w:val="000000"/>
          <w:sz w:val="32"/>
        </w:rPr>
        <w:t>月</w:t>
      </w:r>
    </w:p>
    <w:p>
      <w:pPr>
        <w:pStyle w:val="11"/>
        <w:spacing w:line="360" w:lineRule="auto"/>
        <w:ind w:left="210" w:leftChars="100"/>
        <w:jc w:val="center"/>
        <w:rPr>
          <w:rFonts w:ascii="Times New Roman" w:eastAsia="宋体"/>
          <w:color w:val="000000"/>
        </w:rPr>
      </w:pPr>
    </w:p>
    <w:p>
      <w:pPr>
        <w:rPr>
          <w:rFonts w:ascii="Times New Roman" w:eastAsia="宋体"/>
          <w:color w:val="000000"/>
        </w:rPr>
      </w:pPr>
    </w:p>
    <w:p>
      <w:pPr>
        <w:pStyle w:val="7"/>
      </w:pP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7</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31</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pStyle w:val="2"/>
        <w:rPr>
          <w:b/>
          <w:bCs/>
          <w:color w:val="000000"/>
          <w:sz w:val="32"/>
        </w:rPr>
      </w:pPr>
    </w:p>
    <w:p>
      <w:pPr>
        <w:rPr>
          <w:b/>
          <w:bCs/>
          <w:color w:val="000000"/>
          <w:sz w:val="32"/>
        </w:rPr>
      </w:pPr>
    </w:p>
    <w:p>
      <w:pPr>
        <w:pStyle w:val="2"/>
        <w:rPr>
          <w:b/>
          <w:bCs/>
          <w:color w:val="000000"/>
          <w:sz w:val="32"/>
        </w:rPr>
      </w:pPr>
    </w:p>
    <w:p>
      <w:pPr>
        <w:rPr>
          <w:b/>
          <w:bCs/>
          <w:color w:val="000000"/>
          <w:sz w:val="32"/>
        </w:rPr>
      </w:pPr>
    </w:p>
    <w:p>
      <w:pPr>
        <w:pStyle w:val="2"/>
        <w:rPr>
          <w:b/>
          <w:bCs/>
          <w:color w:val="000000"/>
          <w:sz w:val="32"/>
        </w:rPr>
      </w:pPr>
    </w:p>
    <w:p/>
    <w:p>
      <w:pPr>
        <w:spacing w:line="410" w:lineRule="exact"/>
        <w:jc w:val="center"/>
        <w:rPr>
          <w:b/>
          <w:bCs/>
          <w:color w:val="000000"/>
          <w:sz w:val="32"/>
        </w:rPr>
      </w:pPr>
    </w:p>
    <w:p>
      <w:pPr>
        <w:keepNext w:val="0"/>
        <w:keepLines w:val="0"/>
        <w:pageBreakBefore w:val="0"/>
        <w:kinsoku/>
        <w:wordWrap/>
        <w:topLinePunct w:val="0"/>
        <w:bidi w:val="0"/>
        <w:spacing w:line="42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w:t>
      </w:r>
      <w:r>
        <w:rPr>
          <w:rFonts w:hint="eastAsia" w:ascii="宋体" w:hAnsi="宋体" w:cs="宋体"/>
          <w:bCs/>
          <w:color w:val="000000"/>
          <w:sz w:val="24"/>
          <w:lang w:val="en-US" w:eastAsia="zh-CN"/>
        </w:rPr>
        <w:t>学校发展</w:t>
      </w:r>
      <w:r>
        <w:rPr>
          <w:rFonts w:hint="eastAsia" w:ascii="宋体" w:hAnsi="宋体" w:cs="宋体"/>
          <w:bCs/>
          <w:color w:val="000000"/>
          <w:sz w:val="24"/>
        </w:rPr>
        <w:t>需要，经衢州市财政局审批，现就衢州学院</w:t>
      </w:r>
      <w:r>
        <w:rPr>
          <w:rFonts w:hint="eastAsia" w:ascii="宋体" w:hAnsi="宋体" w:cs="宋体"/>
          <w:b/>
          <w:bCs w:val="0"/>
          <w:color w:val="000000"/>
          <w:sz w:val="24"/>
          <w:lang w:val="en-US" w:eastAsia="zh-CN"/>
        </w:rPr>
        <w:t>新建学生公寓家具</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2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2-41</w:t>
      </w:r>
    </w:p>
    <w:p>
      <w:pPr>
        <w:keepNext w:val="0"/>
        <w:keepLines w:val="0"/>
        <w:pageBreakBefore w:val="0"/>
        <w:kinsoku/>
        <w:wordWrap/>
        <w:topLinePunct w:val="0"/>
        <w:bidi w:val="0"/>
        <w:spacing w:line="42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color w:val="000000"/>
          <w:sz w:val="24"/>
          <w:lang w:val="en-US" w:eastAsia="zh-CN"/>
        </w:rPr>
        <w:t>新建</w:t>
      </w:r>
      <w:r>
        <w:rPr>
          <w:rFonts w:hint="eastAsia" w:ascii="宋体" w:hAnsi="宋体" w:cs="宋体"/>
          <w:b/>
          <w:bCs w:val="0"/>
          <w:color w:val="000000"/>
          <w:sz w:val="24"/>
          <w:lang w:val="en-US" w:eastAsia="zh-CN"/>
        </w:rPr>
        <w:t>学生公寓家具</w:t>
      </w:r>
    </w:p>
    <w:p>
      <w:pPr>
        <w:keepNext w:val="0"/>
        <w:keepLines w:val="0"/>
        <w:pageBreakBefore w:val="0"/>
        <w:kinsoku/>
        <w:wordWrap/>
        <w:topLinePunct w:val="0"/>
        <w:bidi w:val="0"/>
        <w:spacing w:line="420" w:lineRule="exact"/>
        <w:ind w:firstLine="495"/>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p>
      <w:pPr>
        <w:pStyle w:val="20"/>
        <w:keepNext w:val="0"/>
        <w:keepLines w:val="0"/>
        <w:pageBreakBefore w:val="0"/>
        <w:kinsoku/>
        <w:wordWrap/>
        <w:topLinePunct w:val="0"/>
        <w:bidi w:val="0"/>
        <w:spacing w:line="420" w:lineRule="exact"/>
        <w:ind w:firstLine="482" w:firstLineChars="200"/>
        <w:rPr>
          <w:rFonts w:hint="default"/>
          <w:lang w:val="en-US" w:eastAsia="zh-CN"/>
        </w:rPr>
      </w:pPr>
      <w:r>
        <w:rPr>
          <w:rFonts w:hint="eastAsia"/>
          <w:b/>
          <w:color w:val="000000"/>
          <w:sz w:val="24"/>
          <w:lang w:val="en-US" w:eastAsia="zh-CN"/>
        </w:rPr>
        <w:t>新建学生公寓共有6人间标准间308间（</w:t>
      </w:r>
      <w:r>
        <w:rPr>
          <w:rFonts w:hint="eastAsia"/>
          <w:b/>
          <w:color w:val="000000" w:themeColor="text1"/>
          <w:sz w:val="24"/>
          <w:lang w:val="en-US" w:eastAsia="zh-CN"/>
          <w14:textFill>
            <w14:solidFill>
              <w14:schemeClr w14:val="tx1"/>
            </w14:solidFill>
          </w14:textFill>
        </w:rPr>
        <w:t>268间床铺长度均为2米，</w:t>
      </w:r>
      <w:r>
        <w:rPr>
          <w:rFonts w:hint="eastAsia"/>
          <w:b/>
          <w:color w:val="000000"/>
          <w:sz w:val="24"/>
          <w:lang w:val="en-US" w:eastAsia="zh-CN"/>
        </w:rPr>
        <w:t>其中40间寝室床铺调整为2张床铺长2.1米，4张床铺长1.95米），需采购单人上铺床架、书桌组合衣柜、三人储物柜和椅子等家具，具体数量见下表：</w:t>
      </w:r>
    </w:p>
    <w:tbl>
      <w:tblPr>
        <w:tblStyle w:val="1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849"/>
        <w:gridCol w:w="848"/>
        <w:gridCol w:w="296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单人上铺床架</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组</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203.28</w:t>
            </w:r>
          </w:p>
        </w:tc>
        <w:tc>
          <w:tcPr>
            <w:tcW w:w="251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以招标文件第三章要求为准</w:t>
            </w:r>
          </w:p>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书桌组合衣柜</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套</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240.24</w:t>
            </w:r>
          </w:p>
        </w:tc>
        <w:tc>
          <w:tcPr>
            <w:tcW w:w="2516" w:type="dxa"/>
            <w:vMerge w:val="continue"/>
            <w:tcBorders>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三人储物柜 </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616</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只</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48.048</w:t>
            </w:r>
          </w:p>
        </w:tc>
        <w:tc>
          <w:tcPr>
            <w:tcW w:w="2516" w:type="dxa"/>
            <w:vMerge w:val="continue"/>
            <w:tcBorders>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0" w:type="auto"/>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椅子</w:t>
            </w:r>
          </w:p>
        </w:tc>
        <w:tc>
          <w:tcPr>
            <w:tcW w:w="0" w:type="auto"/>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把</w:t>
            </w:r>
          </w:p>
        </w:tc>
        <w:tc>
          <w:tcPr>
            <w:tcW w:w="2965" w:type="dxa"/>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29.568</w:t>
            </w:r>
          </w:p>
        </w:tc>
        <w:tc>
          <w:tcPr>
            <w:tcW w:w="2516" w:type="dxa"/>
            <w:vMerge w:val="continue"/>
            <w:tcBorders>
              <w:left w:val="single" w:color="auto" w:sz="4" w:space="0"/>
              <w:right w:val="single" w:color="auto" w:sz="4" w:space="0"/>
            </w:tcBorders>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56" w:type="dxa"/>
            <w:gridSpan w:val="3"/>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合计</w:t>
            </w:r>
          </w:p>
        </w:tc>
        <w:tc>
          <w:tcPr>
            <w:tcW w:w="2965" w:type="dxa"/>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szCs w:val="24"/>
                <w:highlight w:val="none"/>
                <w:lang w:val="en-US" w:eastAsia="zh-CN" w:bidi="ar"/>
              </w:rPr>
              <w:t>521.1360</w:t>
            </w:r>
          </w:p>
        </w:tc>
        <w:tc>
          <w:tcPr>
            <w:tcW w:w="2516" w:type="dxa"/>
            <w:tcBorders>
              <w:left w:val="single" w:color="auto" w:sz="4" w:space="0"/>
              <w:right w:val="single" w:color="auto" w:sz="4" w:space="0"/>
            </w:tcBorders>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keepNext w:val="0"/>
        <w:keepLines w:val="0"/>
        <w:pageBreakBefore w:val="0"/>
        <w:kinsoku/>
        <w:wordWrap/>
        <w:topLinePunct w:val="0"/>
        <w:bidi w:val="0"/>
        <w:spacing w:line="42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8</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25</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keepNext w:val="0"/>
        <w:keepLines w:val="0"/>
        <w:pageBreakBefore w:val="0"/>
        <w:kinsoku/>
        <w:wordWrap/>
        <w:topLinePunct w:val="0"/>
        <w:bidi w:val="0"/>
        <w:spacing w:line="420" w:lineRule="exact"/>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8</w:t>
      </w:r>
      <w:r>
        <w:rPr>
          <w:rFonts w:hint="eastAsia" w:cs="宋体"/>
          <w:b/>
          <w:bCs/>
          <w:kern w:val="2"/>
        </w:rPr>
        <w:t>月</w:t>
      </w:r>
      <w:r>
        <w:rPr>
          <w:rFonts w:hint="eastAsia" w:cs="宋体"/>
          <w:b/>
          <w:bCs/>
          <w:kern w:val="2"/>
          <w:lang w:val="en-US" w:eastAsia="zh-CN"/>
        </w:rPr>
        <w:t>25</w:t>
      </w:r>
      <w:r>
        <w:rPr>
          <w:rFonts w:hint="eastAsia" w:cs="宋体"/>
          <w:b/>
          <w:bCs/>
          <w:kern w:val="2"/>
        </w:rPr>
        <w:t>日</w:t>
      </w:r>
      <w:r>
        <w:rPr>
          <w:rFonts w:hint="eastAsia" w:cs="宋体"/>
          <w:b/>
          <w:bCs/>
          <w:kern w:val="2"/>
          <w:lang w:val="en-US" w:eastAsia="zh-CN"/>
        </w:rPr>
        <w:t>09:00</w:t>
      </w:r>
      <w:r>
        <w:rPr>
          <w:rFonts w:hint="eastAsia" w:cs="宋体"/>
          <w:b/>
          <w:bCs/>
          <w:kern w:val="2"/>
        </w:rPr>
        <w:t>时（北京时间）</w:t>
      </w:r>
    </w:p>
    <w:p>
      <w:pPr>
        <w:pStyle w:val="10"/>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hint="eastAsia" w:asciiTheme="minorEastAsia" w:hAnsiTheme="minorEastAsia" w:eastAsiaTheme="minorEastAsia" w:cstheme="minorEastAsia"/>
          <w:b/>
          <w:bCs/>
          <w:sz w:val="24"/>
        </w:rPr>
        <w:t>衢州市公共资源交易中心（五楼）开标厅（衢州市西区花园东大道169号5楼）</w:t>
      </w:r>
      <w:r>
        <w:rPr>
          <w:rFonts w:hint="eastAsia" w:ascii="宋体" w:hAnsi="宋体" w:cs="宋体"/>
          <w:color w:val="000000" w:themeColor="text1"/>
          <w:kern w:val="0"/>
          <w:sz w:val="24"/>
          <w14:textFill>
            <w14:solidFill>
              <w14:schemeClr w14:val="tx1"/>
            </w14:solidFill>
          </w14:textFill>
        </w:rPr>
        <w:t>。</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color w:val="000000"/>
          <w:sz w:val="24"/>
          <w:lang w:val="en-US" w:eastAsia="zh-CN"/>
        </w:rPr>
        <w:t>学生处</w:t>
      </w:r>
      <w:r>
        <w:rPr>
          <w:rFonts w:hint="eastAsia" w:ascii="宋体" w:hAnsi="宋体" w:cs="宋体"/>
          <w:b/>
          <w:bCs/>
          <w:sz w:val="24"/>
        </w:rPr>
        <w:t>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keepNext w:val="0"/>
        <w:keepLines w:val="0"/>
        <w:pageBreakBefore w:val="0"/>
        <w:kinsoku/>
        <w:wordWrap/>
        <w:topLinePunct w:val="0"/>
        <w:bidi w:val="0"/>
        <w:spacing w:line="420" w:lineRule="exact"/>
        <w:ind w:left="479" w:leftChars="228" w:firstLine="12" w:firstLineChars="5"/>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刘</w:t>
      </w:r>
      <w:r>
        <w:rPr>
          <w:rFonts w:hint="eastAsia" w:ascii="宋体" w:hAnsi="宋体" w:cs="宋体"/>
          <w:color w:val="000000" w:themeColor="text1"/>
          <w:kern w:val="0"/>
          <w:sz w:val="24"/>
          <w14:textFill>
            <w14:solidFill>
              <w14:schemeClr w14:val="tx1"/>
            </w14:solidFill>
          </w14:textFill>
        </w:rPr>
        <w:t>老师；电话：</w:t>
      </w:r>
      <w:r>
        <w:rPr>
          <w:rFonts w:hint="eastAsia" w:ascii="宋体" w:hAnsi="宋体" w:cs="宋体"/>
          <w:color w:val="000000" w:themeColor="text1"/>
          <w:kern w:val="0"/>
          <w:sz w:val="24"/>
          <w:lang w:val="en-US" w:eastAsia="zh-CN"/>
          <w14:textFill>
            <w14:solidFill>
              <w14:schemeClr w14:val="tx1"/>
            </w14:solidFill>
          </w14:textFill>
        </w:rPr>
        <w:t>0570-8026518，13575651248。</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keepNext w:val="0"/>
        <w:keepLines w:val="0"/>
        <w:pageBreakBefore w:val="0"/>
        <w:kinsoku/>
        <w:wordWrap/>
        <w:topLinePunct w:val="0"/>
        <w:bidi w:val="0"/>
        <w:spacing w:line="420" w:lineRule="exact"/>
      </w:pP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日</w:t>
      </w:r>
    </w:p>
    <w:p>
      <w:pPr>
        <w:keepNext w:val="0"/>
        <w:keepLines w:val="0"/>
        <w:pageBreakBefore w:val="0"/>
        <w:kinsoku/>
        <w:wordWrap/>
        <w:topLinePunct w:val="0"/>
        <w:bidi w:val="0"/>
        <w:spacing w:line="420" w:lineRule="exact"/>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lang w:eastAsia="zh-CN"/>
              </w:rPr>
            </w:pPr>
            <w:r>
              <w:rPr>
                <w:rFonts w:hint="eastAsia" w:ascii="宋体" w:hAnsi="宋体" w:cs="宋体"/>
                <w:color w:val="000000"/>
                <w:sz w:val="24"/>
              </w:rPr>
              <w:t>1.投标人情况简介</w:t>
            </w:r>
            <w:r>
              <w:rPr>
                <w:rFonts w:hint="eastAsia" w:ascii="宋体" w:hAnsi="宋体" w:cs="宋体"/>
                <w:color w:val="000000"/>
                <w:sz w:val="24"/>
                <w:lang w:eastAsia="zh-CN"/>
              </w:rPr>
              <w:t>；</w:t>
            </w:r>
            <w:r>
              <w:rPr>
                <w:rFonts w:hint="eastAsia" w:ascii="宋体" w:hAnsi="宋体" w:cs="宋体"/>
                <w:color w:val="000000"/>
                <w:sz w:val="24"/>
              </w:rPr>
              <w:t>投标人的质量管理体系认证</w:t>
            </w:r>
            <w:r>
              <w:rPr>
                <w:rFonts w:hint="eastAsia" w:ascii="宋体" w:hAnsi="宋体" w:cs="宋体"/>
                <w:color w:val="000000"/>
                <w:sz w:val="24"/>
                <w:lang w:eastAsia="zh-CN"/>
              </w:rPr>
              <w:t>、</w:t>
            </w:r>
            <w:r>
              <w:rPr>
                <w:rFonts w:hint="eastAsia" w:ascii="宋体" w:hAnsi="宋体" w:cs="宋体"/>
                <w:color w:val="000000"/>
                <w:sz w:val="24"/>
              </w:rPr>
              <w:t>环境管理体系认证</w:t>
            </w:r>
            <w:r>
              <w:rPr>
                <w:rFonts w:hint="eastAsia" w:ascii="宋体" w:hAnsi="宋体" w:cs="宋体"/>
                <w:color w:val="000000"/>
                <w:sz w:val="24"/>
                <w:lang w:eastAsia="zh-CN"/>
              </w:rPr>
              <w:t>、</w:t>
            </w:r>
            <w:r>
              <w:rPr>
                <w:rFonts w:hint="eastAsia" w:ascii="宋体" w:hAnsi="宋体" w:cs="宋体"/>
                <w:color w:val="000000"/>
                <w:sz w:val="24"/>
              </w:rPr>
              <w:t>职业健康安全管理体系认证</w:t>
            </w:r>
            <w:r>
              <w:rPr>
                <w:rFonts w:hint="eastAsia" w:ascii="宋体" w:hAnsi="宋体" w:cs="宋体"/>
                <w:color w:val="000000"/>
                <w:sz w:val="24"/>
                <w:lang w:eastAsia="zh-CN"/>
              </w:rPr>
              <w:t>、</w:t>
            </w:r>
            <w:r>
              <w:rPr>
                <w:rFonts w:hint="eastAsia" w:ascii="宋体" w:hAnsi="宋体" w:cs="宋体"/>
                <w:color w:val="000000"/>
                <w:sz w:val="24"/>
              </w:rPr>
              <w:t>CQC环保产品认证或中国环境标志产品（十环）认证</w:t>
            </w:r>
            <w:r>
              <w:rPr>
                <w:rFonts w:hint="eastAsia" w:ascii="宋体" w:hAnsi="宋体" w:cs="宋体"/>
                <w:color w:val="000000"/>
                <w:sz w:val="24"/>
                <w:lang w:eastAsia="zh-CN"/>
              </w:rPr>
              <w:t>等证书。</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37" w:type="dxa"/>
            <w:vAlign w:val="center"/>
          </w:tcPr>
          <w:p>
            <w:pPr>
              <w:autoSpaceDE w:val="0"/>
              <w:autoSpaceDN w:val="0"/>
              <w:adjustRightInd w:val="0"/>
              <w:spacing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2</w:t>
            </w:r>
            <w:r>
              <w:rPr>
                <w:rFonts w:hint="eastAsia" w:ascii="宋体" w:hAnsi="宋体" w:cs="宋体"/>
                <w:color w:val="000000"/>
                <w:sz w:val="24"/>
                <w:lang w:val="zh-CN" w:eastAsia="zh-CN"/>
              </w:rPr>
              <w:t>.</w:t>
            </w:r>
            <w:r>
              <w:rPr>
                <w:rFonts w:hint="eastAsia" w:ascii="宋体" w:hAnsi="宋体" w:cs="宋体"/>
                <w:color w:val="000000"/>
                <w:sz w:val="24"/>
                <w:lang w:val="en-US" w:eastAsia="zh-CN"/>
              </w:rPr>
              <w:t>详细的产品技术参数响应情况</w:t>
            </w:r>
          </w:p>
        </w:tc>
        <w:tc>
          <w:tcPr>
            <w:tcW w:w="1011" w:type="dxa"/>
            <w:vAlign w:val="center"/>
          </w:tcPr>
          <w:p>
            <w:pPr>
              <w:autoSpaceDE w:val="0"/>
              <w:autoSpaceDN w:val="0"/>
              <w:adjustRightInd w:val="0"/>
              <w:spacing w:line="360" w:lineRule="auto"/>
              <w:rPr>
                <w:rFonts w:hint="eastAsia" w:ascii="宋体" w:hAnsi="宋体" w:cs="宋体"/>
                <w:color w:val="000000"/>
                <w:sz w:val="24"/>
                <w:lang w:val="en-US" w:eastAsia="zh-CN"/>
              </w:rPr>
            </w:pPr>
          </w:p>
        </w:tc>
        <w:tc>
          <w:tcPr>
            <w:tcW w:w="1316" w:type="dxa"/>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pPr>
            <w:r>
              <w:rPr>
                <w:rFonts w:hint="eastAsia" w:ascii="宋体" w:hAnsi="宋体" w:cs="宋体"/>
                <w:color w:val="000000"/>
                <w:sz w:val="24"/>
                <w:lang w:val="en-US" w:eastAsia="zh-CN"/>
              </w:rPr>
              <w:t>3.样品说明</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lang w:eastAsia="zh-CN"/>
              </w:rPr>
            </w:pPr>
            <w:r>
              <w:rPr>
                <w:rFonts w:hint="eastAsia" w:ascii="宋体" w:hAnsi="宋体" w:cs="宋体"/>
                <w:color w:val="000000"/>
                <w:sz w:val="24"/>
                <w:lang w:val="en-US" w:eastAsia="zh-CN"/>
              </w:rPr>
              <w:t>4.产品环保性相关检测报告</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lang w:eastAsia="zh-CN"/>
              </w:rPr>
            </w:pPr>
            <w:r>
              <w:rPr>
                <w:rFonts w:hint="eastAsia" w:ascii="宋体" w:hAnsi="宋体" w:cs="宋体"/>
                <w:color w:val="000000"/>
                <w:sz w:val="24"/>
                <w:lang w:val="en-US" w:eastAsia="zh-CN"/>
              </w:rPr>
              <w:t>5.项目设计方案和实施方案详细材料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lang w:eastAsia="zh-CN"/>
              </w:rPr>
            </w:pPr>
            <w:r>
              <w:rPr>
                <w:rFonts w:hint="eastAsia" w:ascii="宋体" w:hAnsi="宋体" w:cs="宋体"/>
                <w:color w:val="000000"/>
                <w:sz w:val="24"/>
                <w:lang w:val="en-US" w:eastAsia="zh-CN"/>
              </w:rPr>
              <w:t>6.质保期、服务承诺和质保期以外承诺等材料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7.规格、技术参数偏离表</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格式六</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8.技术支持和售后服务承诺书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格式七</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default" w:ascii="宋体" w:hAnsi="宋体" w:cs="宋体"/>
                <w:color w:val="000000"/>
                <w:sz w:val="24"/>
                <w:lang w:val="en-US" w:eastAsia="zh-CN"/>
              </w:rPr>
            </w:pPr>
            <w:r>
              <w:rPr>
                <w:rFonts w:hint="eastAsia" w:ascii="宋体" w:hAnsi="宋体" w:cs="宋体"/>
                <w:color w:val="000000"/>
                <w:sz w:val="24"/>
                <w:lang w:val="en-US" w:eastAsia="zh-CN"/>
              </w:rPr>
              <w:t>9.投标人同类项目实施情况一览表：须提供2019年1月1日以来（以合同签订时间为准）至今实施的同类项目（必须包含公寓床和书桌组合柜）合同原件的扫描件。</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highlight w:val="yellow"/>
                <w:lang w:val="en-US" w:eastAsia="zh-CN"/>
              </w:rPr>
            </w:pPr>
            <w:r>
              <w:rPr>
                <w:rFonts w:hint="eastAsia" w:ascii="宋体" w:hAnsi="宋体" w:cs="宋体"/>
                <w:color w:val="000000"/>
                <w:sz w:val="24"/>
                <w:highlight w:val="yellow"/>
              </w:rPr>
              <w:t>格式</w:t>
            </w:r>
            <w:r>
              <w:rPr>
                <w:rFonts w:hint="eastAsia" w:ascii="宋体" w:hAnsi="宋体" w:cs="宋体"/>
                <w:color w:val="000000"/>
                <w:sz w:val="24"/>
                <w:highlight w:val="yellow"/>
                <w:lang w:val="en-US" w:eastAsia="zh-CN"/>
              </w:rPr>
              <w:t>八</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rPr>
              <w:t>2-</w:t>
            </w:r>
            <w:r>
              <w:rPr>
                <w:rFonts w:hint="eastAsia" w:ascii="宋体" w:hAnsi="宋体" w:cs="宋体"/>
                <w:color w:val="000000"/>
                <w:sz w:val="24"/>
                <w:lang w:val="en-US" w:eastAsia="zh-CN"/>
              </w:rPr>
              <w:t>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10"/>
              <w:spacing w:line="360" w:lineRule="auto"/>
              <w:rPr>
                <w:rFonts w:hint="eastAsia" w:hAnsi="宋体" w:eastAsia="宋体" w:cs="宋体"/>
                <w:b/>
                <w:bCs/>
                <w:color w:val="000000"/>
                <w:kern w:val="2"/>
                <w:sz w:val="24"/>
                <w:szCs w:val="24"/>
                <w:lang w:val="en-US"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hint="eastAsia" w:ascii="宋体" w:hAnsi="宋体" w:cs="宋体"/>
          <w:b/>
          <w:bCs/>
          <w:sz w:val="24"/>
        </w:rPr>
      </w:pPr>
      <w:r>
        <w:rPr>
          <w:rFonts w:hint="eastAsia" w:ascii="宋体" w:hAnsi="宋体" w:cs="宋体"/>
          <w:b/>
          <w:bCs/>
          <w:sz w:val="24"/>
        </w:rPr>
        <w:t>（三）无效的投标文件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keepNext w:val="0"/>
        <w:keepLines w:val="0"/>
        <w:pageBreakBefore w:val="0"/>
        <w:widowControl w:val="0"/>
        <w:kinsoku/>
        <w:wordWrap/>
        <w:overflowPunct/>
        <w:topLinePunct w:val="0"/>
        <w:autoSpaceDE w:val="0"/>
        <w:autoSpaceDN w:val="0"/>
        <w:bidi w:val="0"/>
        <w:adjustRightInd w:val="0"/>
        <w:spacing w:line="450" w:lineRule="exact"/>
        <w:ind w:firstLine="472" w:firstLineChars="196"/>
        <w:textAlignment w:val="auto"/>
        <w:outlineLvl w:val="1"/>
        <w:rPr>
          <w:rFonts w:ascii="宋体" w:hAnsi="宋体" w:cs="宋体"/>
          <w:b/>
          <w:color w:val="000000"/>
          <w:sz w:val="24"/>
        </w:rPr>
      </w:pPr>
      <w:r>
        <w:rPr>
          <w:rFonts w:hint="eastAsia" w:ascii="宋体" w:hAnsi="宋体" w:cs="宋体"/>
          <w:b/>
          <w:color w:val="000000"/>
          <w:sz w:val="24"/>
        </w:rPr>
        <w:t>五、开标</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（一）开标</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 招标人在规定的日期、时间和地点组织招标会。</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sz w:val="24"/>
        </w:rPr>
      </w:pPr>
      <w:r>
        <w:rPr>
          <w:rFonts w:hint="eastAsia" w:ascii="宋体" w:hAnsi="宋体" w:cs="宋体"/>
          <w:sz w:val="24"/>
        </w:rPr>
        <w:t>2.电子投标文件开标</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overflowPunct/>
        <w:topLinePunct w:val="0"/>
        <w:bidi w:val="0"/>
        <w:snapToGrid w:val="0"/>
        <w:spacing w:line="450" w:lineRule="exact"/>
        <w:ind w:firstLine="470" w:firstLineChars="196"/>
        <w:textAlignment w:val="auto"/>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keepNext w:val="0"/>
        <w:keepLines w:val="0"/>
        <w:pageBreakBefore w:val="0"/>
        <w:widowControl w:val="0"/>
        <w:kinsoku/>
        <w:wordWrap/>
        <w:overflowPunct/>
        <w:topLinePunct w:val="0"/>
        <w:autoSpaceDE w:val="0"/>
        <w:autoSpaceDN w:val="0"/>
        <w:bidi w:val="0"/>
        <w:adjustRightInd w:val="0"/>
        <w:spacing w:line="450" w:lineRule="exact"/>
        <w:ind w:firstLine="482" w:firstLineChars="200"/>
        <w:textAlignment w:val="auto"/>
        <w:rPr>
          <w:rFonts w:ascii="宋体" w:hAnsi="宋体" w:cs="宋体"/>
          <w:b/>
          <w:bCs/>
          <w:color w:val="000000"/>
          <w:sz w:val="24"/>
        </w:rPr>
      </w:pPr>
      <w:r>
        <w:rPr>
          <w:rFonts w:hint="eastAsia" w:ascii="宋体" w:hAnsi="宋体" w:cs="宋体"/>
          <w:b/>
          <w:bCs/>
          <w:color w:val="000000"/>
          <w:sz w:val="24"/>
        </w:rPr>
        <w:t>（二）评标委员会</w:t>
      </w:r>
    </w:p>
    <w:p>
      <w:pPr>
        <w:keepNext w:val="0"/>
        <w:keepLines w:val="0"/>
        <w:pageBreakBefore w:val="0"/>
        <w:widowControl w:val="0"/>
        <w:kinsoku/>
        <w:wordWrap/>
        <w:overflowPunct/>
        <w:topLinePunct w:val="0"/>
        <w:bidi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keepNext w:val="0"/>
        <w:keepLines w:val="0"/>
        <w:pageBreakBefore w:val="0"/>
        <w:widowControl w:val="0"/>
        <w:kinsoku/>
        <w:wordWrap/>
        <w:overflowPunct/>
        <w:topLinePunct w:val="0"/>
        <w:bidi w:val="0"/>
        <w:snapToGrid w:val="0"/>
        <w:spacing w:line="450" w:lineRule="exact"/>
        <w:ind w:firstLine="482" w:firstLineChars="200"/>
        <w:textAlignment w:val="auto"/>
        <w:rPr>
          <w:rFonts w:ascii="宋体" w:hAnsi="宋体" w:cs="宋体"/>
          <w:b/>
          <w:bCs/>
          <w:color w:val="000000"/>
          <w:sz w:val="24"/>
        </w:rPr>
      </w:pPr>
      <w:r>
        <w:rPr>
          <w:rFonts w:hint="eastAsia" w:ascii="宋体" w:hAnsi="宋体" w:cs="宋体"/>
          <w:b/>
          <w:bCs/>
          <w:color w:val="000000"/>
          <w:sz w:val="24"/>
        </w:rPr>
        <w:t>（三）评标</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keepNext w:val="0"/>
        <w:keepLines w:val="0"/>
        <w:pageBreakBefore w:val="0"/>
        <w:widowControl w:val="0"/>
        <w:kinsoku/>
        <w:wordWrap/>
        <w:overflowPunct/>
        <w:topLinePunct w:val="0"/>
        <w:bidi w:val="0"/>
        <w:snapToGrid w:val="0"/>
        <w:spacing w:line="450" w:lineRule="exact"/>
        <w:ind w:firstLine="482" w:firstLineChars="200"/>
        <w:textAlignment w:val="auto"/>
        <w:rPr>
          <w:rFonts w:ascii="宋体" w:hAnsi="宋体" w:cs="宋体"/>
          <w:b/>
          <w:color w:val="000000"/>
          <w:sz w:val="24"/>
        </w:rPr>
      </w:pPr>
      <w:r>
        <w:rPr>
          <w:rFonts w:hint="eastAsia" w:ascii="宋体" w:hAnsi="宋体" w:cs="宋体"/>
          <w:b/>
          <w:color w:val="000000"/>
          <w:sz w:val="24"/>
        </w:rPr>
        <w:t>(四) 算术错误将按以下方法更正</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b/>
          <w:color w:val="000000"/>
          <w:sz w:val="24"/>
        </w:rPr>
      </w:pPr>
      <w:r>
        <w:rPr>
          <w:rFonts w:hint="eastAsia" w:ascii="宋体" w:hAnsi="宋体" w:cs="宋体"/>
          <w:b/>
          <w:color w:val="000000"/>
          <w:sz w:val="24"/>
        </w:rPr>
        <w:t>六、履约保证金</w:t>
      </w:r>
    </w:p>
    <w:p>
      <w:pPr>
        <w:keepNext w:val="0"/>
        <w:keepLines w:val="0"/>
        <w:pageBreakBefore w:val="0"/>
        <w:widowControl w:val="0"/>
        <w:kinsoku/>
        <w:wordWrap/>
        <w:overflowPunct/>
        <w:topLinePunct w:val="0"/>
        <w:autoSpaceDE w:val="0"/>
        <w:autoSpaceDN w:val="0"/>
        <w:bidi w:val="0"/>
        <w:adjustRightInd w:val="0"/>
        <w:spacing w:line="450" w:lineRule="exact"/>
        <w:ind w:firstLine="482" w:firstLineChars="200"/>
        <w:textAlignment w:val="auto"/>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2．缴纳形式：</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keepNext w:val="0"/>
        <w:keepLines w:val="0"/>
        <w:pageBreakBefore w:val="0"/>
        <w:widowControl w:val="0"/>
        <w:kinsoku/>
        <w:wordWrap/>
        <w:overflowPunct/>
        <w:topLinePunct w:val="0"/>
        <w:autoSpaceDE w:val="0"/>
        <w:autoSpaceDN w:val="0"/>
        <w:bidi w:val="0"/>
        <w:adjustRightInd w:val="0"/>
        <w:spacing w:line="450" w:lineRule="exact"/>
        <w:textAlignment w:val="auto"/>
        <w:rPr>
          <w:rFonts w:ascii="宋体" w:hAnsi="宋体" w:cs="宋体"/>
          <w:bCs/>
          <w:sz w:val="24"/>
        </w:rPr>
      </w:pPr>
      <w:r>
        <w:rPr>
          <w:rFonts w:hint="eastAsia" w:ascii="宋体" w:hAnsi="宋体" w:cs="宋体"/>
          <w:bCs/>
          <w:sz w:val="24"/>
        </w:rPr>
        <w:t>账号：799901012105965。</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(2)或符合政策规定的其它形式。</w:t>
      </w:r>
    </w:p>
    <w:p>
      <w:pPr>
        <w:keepNext w:val="0"/>
        <w:keepLines w:val="0"/>
        <w:pageBreakBefore w:val="0"/>
        <w:widowControl w:val="0"/>
        <w:kinsoku/>
        <w:wordWrap/>
        <w:overflowPunct/>
        <w:topLinePunct w:val="0"/>
        <w:autoSpaceDE w:val="0"/>
        <w:autoSpaceDN w:val="0"/>
        <w:bidi w:val="0"/>
        <w:adjustRightInd w:val="0"/>
        <w:spacing w:line="450" w:lineRule="exact"/>
        <w:ind w:firstLine="472" w:firstLineChars="196"/>
        <w:textAlignment w:val="auto"/>
        <w:outlineLvl w:val="1"/>
        <w:rPr>
          <w:rFonts w:ascii="宋体" w:hAnsi="宋体" w:cs="宋体"/>
          <w:b/>
          <w:color w:val="000000"/>
          <w:sz w:val="24"/>
        </w:rPr>
      </w:pPr>
      <w:r>
        <w:rPr>
          <w:rFonts w:hint="eastAsia" w:ascii="宋体" w:hAnsi="宋体" w:cs="宋体"/>
          <w:b/>
          <w:color w:val="000000"/>
          <w:sz w:val="24"/>
        </w:rPr>
        <w:t>七、合同授予</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keepNext w:val="0"/>
        <w:keepLines w:val="0"/>
        <w:pageBreakBefore w:val="0"/>
        <w:widowControl w:val="0"/>
        <w:kinsoku/>
        <w:wordWrap/>
        <w:overflowPunct/>
        <w:topLinePunct w:val="0"/>
        <w:bidi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八、项目要求</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要求使用绿色环保材料，制作的产品要进行异味的去除，确保安装后的货物对人体无害。</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cs="新宋体"/>
          <w:color w:val="FF0000"/>
          <w:sz w:val="24"/>
          <w:szCs w:val="24"/>
          <w:highlight w:val="none"/>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投标人必须充分考虑招标方案中的技术规范，根据招标人的产品式样、功能、结构、材质等技术要求，提供投标响应方案。投标人可在符合招标方技术规范的情况下，充分发挥自身的优势和特点</w:t>
      </w:r>
      <w:r>
        <w:rPr>
          <w:rFonts w:hint="eastAsia" w:ascii="新宋体" w:hAnsi="新宋体" w:eastAsia="新宋体" w:cs="新宋体"/>
          <w:sz w:val="24"/>
          <w:szCs w:val="24"/>
          <w:lang w:eastAsia="zh-CN"/>
        </w:rPr>
        <w:t>优化完善方案</w:t>
      </w:r>
      <w:r>
        <w:rPr>
          <w:rFonts w:hint="eastAsia" w:ascii="新宋体" w:hAnsi="新宋体" w:eastAsia="新宋体" w:cs="新宋体"/>
          <w:sz w:val="24"/>
          <w:szCs w:val="24"/>
        </w:rPr>
        <w:t>，提供相应的设计方案、技术方案和投标货物。阐明响应方案的实现思路及关键技术、符合本项目对当前和未来发展的要求、以及对功能设计和实施计划的建议。</w:t>
      </w:r>
      <w:r>
        <w:rPr>
          <w:rFonts w:hint="eastAsia" w:ascii="宋体" w:hAnsi="宋体" w:cs="宋体"/>
          <w:b/>
          <w:bCs/>
          <w:color w:val="FF0000"/>
          <w:kern w:val="0"/>
          <w:sz w:val="24"/>
          <w:szCs w:val="24"/>
          <w:highlight w:val="none"/>
        </w:rPr>
        <w:t>投标人在响应方案中应明确主材、辅材和主要配件的产地（或生产厂家）、品牌、规格型号及主要技术参数，并提供相应说明材料。</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投标人的投标货物要按照本招标文件货物规格尺寸要求一次性报价；未确定尺寸的产品，投标人应根据实际情况自行确定，同时应满足使用要求。报价应包含货物本体、</w:t>
      </w:r>
      <w:r>
        <w:rPr>
          <w:rFonts w:hint="eastAsia" w:ascii="新宋体" w:hAnsi="新宋体" w:eastAsia="新宋体" w:cs="新宋体"/>
          <w:sz w:val="24"/>
          <w:szCs w:val="24"/>
          <w:lang w:eastAsia="zh-CN"/>
        </w:rPr>
        <w:t>仓储、</w:t>
      </w:r>
      <w:r>
        <w:rPr>
          <w:rFonts w:hint="eastAsia" w:ascii="新宋体" w:hAnsi="新宋体" w:eastAsia="新宋体" w:cs="新宋体"/>
          <w:sz w:val="24"/>
          <w:szCs w:val="24"/>
        </w:rPr>
        <w:t>运输、包装、装卸、安装、调试、服务等完税后费用。</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在中标后采购人有权选择中标货物的颜色，中标价格不变；采购人有权在不改基本规格尺寸的基础上，要求中标单位提供的货物在样式上稍做</w:t>
      </w:r>
      <w:r>
        <w:rPr>
          <w:rFonts w:hint="eastAsia" w:ascii="新宋体" w:hAnsi="新宋体" w:eastAsia="新宋体" w:cs="新宋体"/>
          <w:sz w:val="24"/>
          <w:szCs w:val="24"/>
          <w:lang w:eastAsia="zh-CN"/>
        </w:rPr>
        <w:t>优化</w:t>
      </w:r>
      <w:r>
        <w:rPr>
          <w:rFonts w:hint="eastAsia" w:ascii="新宋体" w:hAnsi="新宋体" w:eastAsia="新宋体" w:cs="新宋体"/>
          <w:sz w:val="24"/>
          <w:szCs w:val="24"/>
        </w:rPr>
        <w:t>改动，价格不变。</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在实施方案中应提供完成本项目组建的工作小组名单，每个专业人员的情况和数量，明确各阶段投入人数；每个参加项目人员的履历表应一并提交，主要内容包括学历、技术职称、工作特长、经验与业绩、社保、资质情况等。</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应保证，采购人在使用该货物或货物的任何一部分时，免受第三方提出的侵犯其专利权、商标权、著作权或其它知识产权的起诉。</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应承担由此可能产生的一切法律责任和费用。</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九、质量保证要求</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质保期：自产品验收合格之日起，对非人为故意损坏的产品，</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提供</w:t>
      </w:r>
      <w:r>
        <w:rPr>
          <w:rFonts w:hint="eastAsia" w:ascii="宋体" w:hAnsi="宋体" w:eastAsia="宋体" w:cs="宋体"/>
          <w:color w:val="FF0000"/>
          <w:sz w:val="24"/>
          <w:szCs w:val="24"/>
          <w:highlight w:val="none"/>
          <w:lang w:eastAsia="zh-CN"/>
        </w:rPr>
        <w:t>至少五年</w:t>
      </w:r>
      <w:r>
        <w:rPr>
          <w:rFonts w:hint="eastAsia" w:ascii="宋体" w:hAnsi="宋体" w:eastAsia="宋体" w:cs="宋体"/>
          <w:color w:val="000000"/>
          <w:sz w:val="24"/>
          <w:szCs w:val="24"/>
          <w:highlight w:val="none"/>
        </w:rPr>
        <w:t>免费维修服务（包括原厂配件更换），定期进行免费保养，并承诺在</w:t>
      </w:r>
      <w:r>
        <w:rPr>
          <w:rFonts w:hint="eastAsia" w:ascii="宋体" w:hAnsi="宋体" w:eastAsia="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通知后</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小时内到达现场做出处理，在24小时内修复。</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质保期内因不能排除的故障而影响工作的情况每发生一次，其质保期相应延长60天，质保期内因</w:t>
      </w:r>
      <w:r>
        <w:rPr>
          <w:rFonts w:hint="eastAsia" w:ascii="宋体" w:hAnsi="宋体" w:eastAsia="宋体" w:cs="宋体"/>
          <w:color w:val="000000"/>
          <w:sz w:val="24"/>
          <w:szCs w:val="24"/>
          <w:highlight w:val="none"/>
          <w:lang w:val="en-US" w:eastAsia="zh-CN"/>
        </w:rPr>
        <w:t>货物</w:t>
      </w:r>
      <w:r>
        <w:rPr>
          <w:rFonts w:hint="eastAsia" w:ascii="宋体" w:hAnsi="宋体" w:eastAsia="宋体" w:cs="宋体"/>
          <w:color w:val="000000"/>
          <w:sz w:val="24"/>
          <w:szCs w:val="24"/>
          <w:highlight w:val="none"/>
        </w:rPr>
        <w:t>本身缺陷造成各种故障应由</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免费予以技术服务和维修（如有必要可进行更换），否则将扣除履约保证金作为对采购人的补偿。</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在质保期内，</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应确保正常使用，零配件在停产后仍需保证供应，维修过程中所需零配件</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在接到通知后应当天及时提供，并最长不超过12小时（特殊</w:t>
      </w:r>
      <w:r>
        <w:rPr>
          <w:rFonts w:hint="eastAsia" w:ascii="宋体" w:hAnsi="宋体" w:cs="宋体"/>
          <w:color w:val="000000"/>
          <w:sz w:val="24"/>
          <w:szCs w:val="24"/>
          <w:highlight w:val="none"/>
          <w:lang w:eastAsia="zh-CN"/>
        </w:rPr>
        <w:t>情况</w:t>
      </w:r>
      <w:r>
        <w:rPr>
          <w:rFonts w:hint="eastAsia" w:ascii="宋体" w:hAnsi="宋体" w:eastAsia="宋体" w:cs="宋体"/>
          <w:color w:val="000000"/>
          <w:sz w:val="24"/>
          <w:szCs w:val="24"/>
          <w:highlight w:val="none"/>
        </w:rPr>
        <w:t>另行说明）送达用户指定地点。</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在质保期内，所有服务及备件全部免费。质保期满后，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r>
        <w:rPr>
          <w:rFonts w:hint="eastAsia" w:ascii="新宋体" w:hAnsi="新宋体" w:eastAsia="新宋体" w:cs="新宋体"/>
          <w:sz w:val="24"/>
          <w:szCs w:val="24"/>
          <w:lang w:eastAsia="zh-CN"/>
        </w:rPr>
        <w:t>服务</w:t>
      </w:r>
      <w:r>
        <w:rPr>
          <w:rFonts w:hint="eastAsia" w:ascii="新宋体" w:hAnsi="新宋体" w:eastAsia="新宋体" w:cs="新宋体"/>
          <w:sz w:val="24"/>
          <w:szCs w:val="24"/>
        </w:rPr>
        <w:t>。</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应对所提供的</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有明确的质量违约责任承诺。</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十、其他要求</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kern w:val="0"/>
          <w:sz w:val="24"/>
        </w:rPr>
      </w:pPr>
      <w:r>
        <w:rPr>
          <w:rFonts w:hint="eastAsia" w:ascii="宋体" w:hAnsi="宋体" w:cs="宋体"/>
          <w:color w:val="000000"/>
          <w:kern w:val="0"/>
          <w:sz w:val="24"/>
        </w:rPr>
        <w:t>（一）交货时间</w:t>
      </w:r>
    </w:p>
    <w:p>
      <w:pPr>
        <w:keepNext w:val="0"/>
        <w:keepLines w:val="0"/>
        <w:pageBreakBefore w:val="0"/>
        <w:widowControl w:val="0"/>
        <w:kinsoku/>
        <w:wordWrap/>
        <w:overflowPunct/>
        <w:topLinePunct w:val="0"/>
        <w:autoSpaceDE/>
        <w:autoSpaceDN/>
        <w:bidi w:val="0"/>
        <w:adjustRightInd w:val="0"/>
        <w:snapToGrid w:val="0"/>
        <w:spacing w:line="450" w:lineRule="exact"/>
        <w:ind w:firstLine="480" w:firstLineChars="200"/>
        <w:jc w:val="left"/>
        <w:textAlignment w:val="auto"/>
        <w:rPr>
          <w:rFonts w:ascii="宋体" w:hAnsi="宋体" w:cs="宋体"/>
          <w:color w:val="000000"/>
          <w:kern w:val="0"/>
          <w:sz w:val="24"/>
        </w:rPr>
      </w:pPr>
      <w:r>
        <w:rPr>
          <w:rFonts w:hint="eastAsia" w:ascii="新宋体" w:hAnsi="新宋体" w:eastAsia="新宋体" w:cs="新宋体"/>
          <w:sz w:val="24"/>
          <w:szCs w:val="24"/>
        </w:rPr>
        <w:t>交货期：</w:t>
      </w:r>
      <w:r>
        <w:rPr>
          <w:rFonts w:hint="eastAsia" w:ascii="宋体" w:hAnsi="宋体"/>
          <w:sz w:val="24"/>
          <w:szCs w:val="24"/>
        </w:rPr>
        <w:t>中标人收到中标通知书后</w:t>
      </w:r>
      <w:r>
        <w:rPr>
          <w:rFonts w:hint="eastAsia" w:ascii="宋体" w:hAnsi="宋体"/>
          <w:sz w:val="24"/>
          <w:szCs w:val="24"/>
          <w:lang w:val="en-US" w:eastAsia="zh-CN"/>
        </w:rPr>
        <w:t>7</w:t>
      </w:r>
      <w:r>
        <w:rPr>
          <w:rFonts w:hint="eastAsia" w:ascii="宋体" w:hAnsi="宋体"/>
          <w:sz w:val="24"/>
          <w:szCs w:val="24"/>
        </w:rPr>
        <w:t>天内签订供货合同，</w:t>
      </w:r>
      <w:r>
        <w:rPr>
          <w:rFonts w:hint="eastAsia" w:ascii="宋体" w:hAnsi="宋体"/>
          <w:sz w:val="24"/>
          <w:szCs w:val="24"/>
          <w:u w:val="single"/>
        </w:rPr>
        <w:t>合同签订后</w:t>
      </w:r>
      <w:r>
        <w:rPr>
          <w:rFonts w:hint="eastAsia" w:ascii="宋体" w:hAnsi="宋体"/>
          <w:sz w:val="24"/>
          <w:szCs w:val="24"/>
          <w:u w:val="single"/>
          <w:lang w:eastAsia="zh-CN"/>
        </w:rPr>
        <w:t>按计划组织生产，</w:t>
      </w:r>
      <w:r>
        <w:rPr>
          <w:rFonts w:hint="eastAsia" w:ascii="宋体" w:hAnsi="宋体"/>
          <w:sz w:val="24"/>
          <w:szCs w:val="24"/>
          <w:u w:val="single"/>
          <w:lang w:val="en-US" w:eastAsia="zh-CN"/>
        </w:rPr>
        <w:t>2022年11月30日之前完成生产，2023年5月30日之前完成安装，如有调整按照双方约定时间为准。</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kern w:val="0"/>
          <w:sz w:val="24"/>
        </w:rPr>
      </w:pPr>
      <w:r>
        <w:rPr>
          <w:rFonts w:hint="eastAsia" w:ascii="宋体" w:hAnsi="宋体" w:cs="宋体"/>
          <w:color w:val="000000"/>
          <w:kern w:val="0"/>
          <w:sz w:val="24"/>
        </w:rPr>
        <w:t>（二）售后服务要求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cs="宋体"/>
          <w:color w:val="000000"/>
          <w:sz w:val="24"/>
          <w:szCs w:val="24"/>
          <w:highlight w:val="none"/>
          <w:lang w:val="en-US" w:eastAsia="zh-CN"/>
        </w:rPr>
        <w:t>1.</w:t>
      </w:r>
      <w:r>
        <w:rPr>
          <w:rFonts w:hint="eastAsia" w:ascii="宋体" w:hAnsi="宋体" w:eastAsia="宋体" w:cs="宋体"/>
          <w:b/>
          <w:color w:val="000000"/>
          <w:sz w:val="24"/>
          <w:szCs w:val="24"/>
          <w:highlight w:val="none"/>
          <w:u w:val="single"/>
        </w:rPr>
        <w:t>项目验收合格后，</w:t>
      </w:r>
      <w:r>
        <w:rPr>
          <w:rFonts w:hint="eastAsia" w:ascii="宋体" w:hAnsi="宋体" w:eastAsia="宋体" w:cs="宋体"/>
          <w:b/>
          <w:color w:val="000000"/>
          <w:sz w:val="24"/>
          <w:szCs w:val="24"/>
          <w:highlight w:val="none"/>
          <w:u w:val="single"/>
          <w:lang w:eastAsia="zh-CN"/>
        </w:rPr>
        <w:t>投标人</w:t>
      </w:r>
      <w:r>
        <w:rPr>
          <w:rFonts w:hint="eastAsia" w:ascii="宋体" w:hAnsi="宋体" w:eastAsia="宋体" w:cs="宋体"/>
          <w:b/>
          <w:color w:val="000000"/>
          <w:sz w:val="24"/>
          <w:szCs w:val="24"/>
          <w:highlight w:val="none"/>
          <w:u w:val="single"/>
        </w:rPr>
        <w:t>须提供为期</w:t>
      </w:r>
      <w:r>
        <w:rPr>
          <w:rFonts w:hint="eastAsia" w:ascii="宋体" w:hAnsi="宋体" w:eastAsia="宋体" w:cs="宋体"/>
          <w:b/>
          <w:color w:val="FF0000"/>
          <w:sz w:val="24"/>
          <w:szCs w:val="24"/>
          <w:highlight w:val="none"/>
          <w:u w:val="single"/>
          <w:lang w:eastAsia="zh-CN"/>
        </w:rPr>
        <w:t>不少于五年</w:t>
      </w:r>
      <w:r>
        <w:rPr>
          <w:rFonts w:hint="eastAsia" w:ascii="宋体" w:hAnsi="宋体" w:eastAsia="宋体" w:cs="宋体"/>
          <w:b/>
          <w:color w:val="000000"/>
          <w:sz w:val="24"/>
          <w:szCs w:val="24"/>
          <w:highlight w:val="none"/>
          <w:u w:val="single"/>
        </w:rPr>
        <w:t>的免费运维保障服务及技术支持。</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b/>
          <w:color w:val="000000"/>
          <w:sz w:val="24"/>
          <w:szCs w:val="24"/>
          <w:highlight w:val="none"/>
          <w:u w:val="single"/>
        </w:rPr>
        <w:t>所有</w:t>
      </w:r>
      <w:r>
        <w:rPr>
          <w:rFonts w:hint="eastAsia" w:ascii="宋体" w:hAnsi="宋体" w:cs="宋体"/>
          <w:b/>
          <w:color w:val="000000"/>
          <w:sz w:val="24"/>
          <w:szCs w:val="24"/>
          <w:highlight w:val="none"/>
          <w:u w:val="single"/>
          <w:lang w:eastAsia="zh-CN"/>
        </w:rPr>
        <w:t>产品</w:t>
      </w:r>
      <w:r>
        <w:rPr>
          <w:rFonts w:hint="eastAsia" w:ascii="宋体" w:hAnsi="宋体" w:eastAsia="宋体" w:cs="宋体"/>
          <w:b/>
          <w:color w:val="000000"/>
          <w:sz w:val="24"/>
          <w:szCs w:val="24"/>
          <w:highlight w:val="none"/>
          <w:u w:val="single"/>
        </w:rPr>
        <w:t>自验收合格后</w:t>
      </w:r>
      <w:r>
        <w:rPr>
          <w:rFonts w:hint="eastAsia" w:ascii="宋体" w:hAnsi="宋体" w:eastAsia="宋体" w:cs="宋体"/>
          <w:color w:val="000000"/>
          <w:sz w:val="24"/>
          <w:szCs w:val="24"/>
          <w:highlight w:val="none"/>
        </w:rPr>
        <w:t>提供专用报修电话；提供一名原厂专署技术客户经理跟踪整个服务事件以及紧急派遣，专署技术客户经理提供与电话支持同步的现场故障诊断。</w:t>
      </w:r>
    </w:p>
    <w:p>
      <w:pPr>
        <w:keepNext w:val="0"/>
        <w:keepLines w:val="0"/>
        <w:pageBreakBefore w:val="0"/>
        <w:widowControl w:val="0"/>
        <w:kinsoku/>
        <w:wordWrap/>
        <w:overflowPunct/>
        <w:topLinePunct w:val="0"/>
        <w:autoSpaceDE w:val="0"/>
        <w:autoSpaceDN w:val="0"/>
        <w:bidi w:val="0"/>
        <w:adjustRightInd w:val="0"/>
        <w:spacing w:line="450" w:lineRule="exact"/>
        <w:ind w:firstLine="561"/>
        <w:textAlignment w:val="auto"/>
        <w:rPr>
          <w:rFonts w:ascii="宋体" w:hAnsi="宋体" w:cs="宋体"/>
          <w:color w:val="000000"/>
          <w:kern w:val="0"/>
          <w:sz w:val="24"/>
        </w:rPr>
      </w:pPr>
      <w:r>
        <w:rPr>
          <w:rFonts w:hint="eastAsia" w:ascii="宋体" w:hAnsi="宋体" w:cs="宋体"/>
          <w:color w:val="000000"/>
          <w:kern w:val="0"/>
          <w:sz w:val="24"/>
        </w:rPr>
        <w:t>（三）培训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根据项目的实施，</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应提供以下内容的培训和现场指导：</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提供现场安装培训。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用户使用和操作培训，并提供用户操作手册。</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提供基本的故障识别和处理培训。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以上所有培训及认证费用应以包括在此项目中，不再另行收费，培训时间及地点由采购人指定。</w:t>
      </w:r>
    </w:p>
    <w:p>
      <w:pPr>
        <w:keepNext w:val="0"/>
        <w:keepLines w:val="0"/>
        <w:pageBreakBefore w:val="0"/>
        <w:widowControl w:val="0"/>
        <w:kinsoku/>
        <w:wordWrap/>
        <w:overflowPunct/>
        <w:topLinePunct w:val="0"/>
        <w:autoSpaceDE w:val="0"/>
        <w:autoSpaceDN w:val="0"/>
        <w:bidi w:val="0"/>
        <w:adjustRightInd w:val="0"/>
        <w:snapToGrid/>
        <w:spacing w:line="450" w:lineRule="exact"/>
        <w:ind w:firstLine="561" w:firstLineChars="0"/>
        <w:jc w:val="left"/>
        <w:textAlignment w:val="auto"/>
        <w:rPr>
          <w:rFonts w:hint="eastAsia" w:ascii="新宋体" w:hAnsi="新宋体" w:eastAsia="新宋体" w:cs="新宋体"/>
          <w:sz w:val="24"/>
          <w:szCs w:val="24"/>
        </w:rPr>
      </w:pPr>
      <w:r>
        <w:rPr>
          <w:rFonts w:hint="eastAsia" w:ascii="宋体" w:hAnsi="宋体" w:cs="宋体"/>
          <w:color w:val="000000"/>
          <w:kern w:val="0"/>
          <w:sz w:val="24"/>
        </w:rPr>
        <w:t>（四）</w:t>
      </w:r>
      <w:r>
        <w:rPr>
          <w:rFonts w:hint="eastAsia" w:ascii="新宋体" w:hAnsi="新宋体" w:eastAsia="新宋体" w:cs="新宋体"/>
          <w:sz w:val="24"/>
          <w:szCs w:val="24"/>
        </w:rPr>
        <w:t>安装与验收：</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在明确安装地点后，中标人应先行到安装现场察看，有核对户型、数量、安装条件及各类户型左右向区分等义务。</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中标人负责在货物送达采购人使用现场，完成安装调试，向采购人提出验收申请。</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宋体" w:hAnsi="宋体"/>
          <w:b/>
          <w:bCs/>
          <w:color w:val="000000"/>
          <w:szCs w:val="21"/>
        </w:rPr>
      </w:pPr>
      <w:r>
        <w:rPr>
          <w:rFonts w:hint="eastAsia" w:ascii="新宋体" w:hAnsi="新宋体" w:eastAsia="新宋体" w:cs="新宋体"/>
          <w:sz w:val="24"/>
          <w:szCs w:val="24"/>
          <w:lang w:val="en-US" w:eastAsia="zh-CN"/>
        </w:rPr>
        <w:t>3.产品完成安装后，中标人须对每层两个房间室内进行空气质量检测，检测结果作为验收资料组成部分。</w:t>
      </w:r>
    </w:p>
    <w:p>
      <w:pPr>
        <w:keepNext w:val="0"/>
        <w:keepLines w:val="0"/>
        <w:pageBreakBefore w:val="0"/>
        <w:widowControl w:val="0"/>
        <w:kinsoku/>
        <w:wordWrap/>
        <w:overflowPunct/>
        <w:topLinePunct w:val="0"/>
        <w:bidi w:val="0"/>
        <w:adjustRightInd w:val="0"/>
        <w:snapToGrid w:val="0"/>
        <w:spacing w:line="45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4.</w:t>
      </w:r>
      <w:r>
        <w:rPr>
          <w:rFonts w:hint="eastAsia" w:ascii="新宋体" w:hAnsi="新宋体" w:eastAsia="新宋体" w:cs="新宋体"/>
          <w:b/>
          <w:bCs/>
          <w:sz w:val="24"/>
          <w:szCs w:val="24"/>
        </w:rPr>
        <w:t>采购人可以邀请其他投标人参加验收，</w:t>
      </w:r>
      <w:r>
        <w:rPr>
          <w:rFonts w:hint="eastAsia" w:ascii="宋体" w:hAnsi="宋体" w:cs="宋体"/>
          <w:b/>
          <w:bCs/>
          <w:sz w:val="24"/>
          <w:szCs w:val="24"/>
        </w:rPr>
        <w:t>参与验收投标人的意见作为验收书的参考资料一并存档</w:t>
      </w:r>
      <w:r>
        <w:rPr>
          <w:rFonts w:hint="eastAsia" w:ascii="新宋体" w:hAnsi="新宋体" w:eastAsia="新宋体" w:cs="新宋体"/>
          <w:b/>
          <w:bCs/>
          <w:sz w:val="24"/>
          <w:szCs w:val="24"/>
        </w:rPr>
        <w:t>。</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搬运安装过程中造成原建筑设施、室外道路、绿化、墙体、门窗、锁具等损坏及下水道堵塞的，由中标人进行修复或按实赔偿，或由采购人委托第三方修复，所产生费用由中标人支付。</w:t>
      </w:r>
    </w:p>
    <w:p>
      <w:pPr>
        <w:pStyle w:val="19"/>
        <w:keepNext w:val="0"/>
        <w:keepLines w:val="0"/>
        <w:pageBreakBefore w:val="0"/>
        <w:widowControl w:val="0"/>
        <w:kinsoku/>
        <w:wordWrap/>
        <w:overflowPunct/>
        <w:topLinePunct w:val="0"/>
        <w:bidi w:val="0"/>
        <w:spacing w:line="450" w:lineRule="exact"/>
        <w:textAlignment w:val="auto"/>
        <w:rPr>
          <w:rFonts w:hint="eastAsia" w:eastAsia="新宋体"/>
          <w:lang w:eastAsia="zh-CN"/>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eastAsia="zh-CN"/>
        </w:rPr>
        <w:t>产品生产后的仓储、运输，或二次仓储、二次运输等相关费用由中标人支付。</w:t>
      </w:r>
    </w:p>
    <w:p>
      <w:pPr>
        <w:keepNext w:val="0"/>
        <w:keepLines w:val="0"/>
        <w:pageBreakBefore w:val="0"/>
        <w:widowControl w:val="0"/>
        <w:kinsoku/>
        <w:wordWrap/>
        <w:overflowPunct/>
        <w:topLinePunct w:val="0"/>
        <w:bidi w:val="0"/>
        <w:spacing w:line="450" w:lineRule="exact"/>
        <w:ind w:firstLine="470" w:firstLineChars="195"/>
        <w:textAlignment w:val="auto"/>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keepNext w:val="0"/>
        <w:keepLines w:val="0"/>
        <w:pageBreakBefore w:val="0"/>
        <w:widowControl w:val="0"/>
        <w:kinsoku/>
        <w:wordWrap/>
        <w:overflowPunct/>
        <w:topLinePunct w:val="0"/>
        <w:bidi w:val="0"/>
        <w:spacing w:line="450" w:lineRule="exact"/>
        <w:ind w:firstLine="472" w:firstLineChars="196"/>
        <w:textAlignment w:val="auto"/>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采购中心联系人：周老师，电话：0570-8015042，18957039862。</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质疑答复联系人：郑老师；电话：0570-8015028，13567021518。</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项目技术答疑联系人：</w:t>
      </w:r>
      <w:r>
        <w:rPr>
          <w:rFonts w:hint="eastAsia" w:ascii="宋体" w:hAnsi="宋体" w:cs="宋体"/>
          <w:color w:val="000000"/>
          <w:sz w:val="24"/>
          <w:lang w:val="en-US" w:eastAsia="zh-CN"/>
        </w:rPr>
        <w:t>刘</w:t>
      </w:r>
      <w:r>
        <w:rPr>
          <w:rFonts w:hint="eastAsia" w:ascii="宋体" w:hAnsi="宋体" w:cs="宋体"/>
          <w:color w:val="000000"/>
          <w:sz w:val="24"/>
        </w:rPr>
        <w:t>老师；电话：</w:t>
      </w:r>
      <w:r>
        <w:rPr>
          <w:rFonts w:hint="eastAsia" w:ascii="宋体" w:hAnsi="宋体" w:cs="宋体"/>
          <w:color w:val="000000"/>
          <w:sz w:val="24"/>
          <w:lang w:val="en-US" w:eastAsia="zh-CN"/>
        </w:rPr>
        <w:t>0570-8026518，13575651248。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jc w:val="center"/>
        <w:rPr>
          <w:b/>
          <w:bCs/>
          <w:color w:val="000000"/>
          <w:sz w:val="24"/>
        </w:rPr>
      </w:pPr>
      <w:r>
        <w:rPr>
          <w:b/>
          <w:color w:val="000000"/>
          <w:sz w:val="32"/>
          <w:szCs w:val="32"/>
        </w:rPr>
        <w:t>第三章 采购内容及要求</w:t>
      </w:r>
      <w:bookmarkEnd w:id="4"/>
    </w:p>
    <w:p>
      <w:pPr>
        <w:numPr>
          <w:ilvl w:val="0"/>
          <w:numId w:val="2"/>
        </w:numPr>
        <w:spacing w:line="360" w:lineRule="auto"/>
        <w:ind w:firstLine="482" w:firstLineChars="200"/>
        <w:rPr>
          <w:b/>
          <w:color w:val="000000"/>
          <w:sz w:val="24"/>
        </w:rPr>
      </w:pPr>
      <w:r>
        <w:rPr>
          <w:b/>
          <w:color w:val="000000"/>
          <w:sz w:val="24"/>
        </w:rPr>
        <w:t>采购内容</w:t>
      </w:r>
    </w:p>
    <w:p>
      <w:pPr>
        <w:pStyle w:val="20"/>
        <w:ind w:firstLine="482" w:firstLineChars="200"/>
        <w:rPr>
          <w:rFonts w:hint="default" w:eastAsia="宋体"/>
          <w:lang w:val="en-US" w:eastAsia="zh-CN"/>
        </w:rPr>
      </w:pPr>
      <w:r>
        <w:rPr>
          <w:rFonts w:hint="eastAsia"/>
          <w:b/>
          <w:color w:val="000000"/>
          <w:sz w:val="24"/>
          <w:lang w:val="en-US" w:eastAsia="zh-CN"/>
        </w:rPr>
        <w:t>新建学生公寓共有6人间标准间308间（</w:t>
      </w:r>
      <w:r>
        <w:rPr>
          <w:rFonts w:hint="eastAsia"/>
          <w:b/>
          <w:color w:val="000000" w:themeColor="text1"/>
          <w:sz w:val="24"/>
          <w:lang w:val="en-US" w:eastAsia="zh-CN"/>
          <w14:textFill>
            <w14:solidFill>
              <w14:schemeClr w14:val="tx1"/>
            </w14:solidFill>
          </w14:textFill>
        </w:rPr>
        <w:t>268间床铺长度均为2米，</w:t>
      </w:r>
      <w:r>
        <w:rPr>
          <w:rFonts w:hint="eastAsia"/>
          <w:b/>
          <w:color w:val="000000"/>
          <w:sz w:val="24"/>
          <w:lang w:val="en-US" w:eastAsia="zh-CN"/>
        </w:rPr>
        <w:t>其中40间寝室床铺调整为2张床铺长2.1米，4张床铺长1.95米），需采购单人上铺床架、书桌组合衣柜、三人储物柜和椅子等家具，具体数量见下表：</w:t>
      </w:r>
    </w:p>
    <w:tbl>
      <w:tblPr>
        <w:tblStyle w:val="17"/>
        <w:tblpPr w:leftFromText="180" w:rightFromText="180" w:vertAnchor="text" w:horzAnchor="page" w:tblpX="2028" w:tblpY="214"/>
        <w:tblOverlap w:val="never"/>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515"/>
        <w:gridCol w:w="119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bCs/>
                <w:color w:val="000000"/>
                <w:kern w:val="0"/>
                <w:sz w:val="24"/>
                <w:szCs w:val="24"/>
              </w:rPr>
            </w:pPr>
            <w:r>
              <w:rPr>
                <w:bCs/>
                <w:color w:val="000000"/>
                <w:kern w:val="0"/>
                <w:sz w:val="24"/>
                <w:szCs w:val="24"/>
              </w:rPr>
              <w:t>序号</w:t>
            </w:r>
          </w:p>
        </w:tc>
        <w:tc>
          <w:tcPr>
            <w:tcW w:w="4515" w:type="dxa"/>
            <w:vAlign w:val="center"/>
          </w:tcPr>
          <w:p>
            <w:pPr>
              <w:spacing w:line="360" w:lineRule="auto"/>
              <w:jc w:val="center"/>
              <w:rPr>
                <w:bCs/>
                <w:color w:val="000000"/>
                <w:kern w:val="0"/>
                <w:sz w:val="24"/>
                <w:szCs w:val="24"/>
              </w:rPr>
            </w:pPr>
            <w:r>
              <w:rPr>
                <w:bCs/>
                <w:color w:val="000000"/>
                <w:kern w:val="0"/>
                <w:sz w:val="24"/>
                <w:szCs w:val="24"/>
              </w:rPr>
              <w:t>采购</w:t>
            </w:r>
            <w:r>
              <w:rPr>
                <w:rFonts w:hint="eastAsia"/>
                <w:bCs/>
                <w:color w:val="000000"/>
                <w:kern w:val="0"/>
                <w:sz w:val="24"/>
                <w:szCs w:val="24"/>
                <w:lang w:eastAsia="zh-CN"/>
              </w:rPr>
              <w:t>产品</w:t>
            </w:r>
            <w:r>
              <w:rPr>
                <w:bCs/>
                <w:color w:val="000000"/>
                <w:kern w:val="0"/>
                <w:sz w:val="24"/>
                <w:szCs w:val="24"/>
              </w:rPr>
              <w:t>名称</w:t>
            </w:r>
          </w:p>
        </w:tc>
        <w:tc>
          <w:tcPr>
            <w:tcW w:w="1190" w:type="dxa"/>
            <w:vAlign w:val="center"/>
          </w:tcPr>
          <w:p>
            <w:pPr>
              <w:spacing w:line="360" w:lineRule="auto"/>
              <w:jc w:val="center"/>
              <w:rPr>
                <w:bCs/>
                <w:color w:val="000000"/>
                <w:kern w:val="0"/>
                <w:sz w:val="24"/>
                <w:szCs w:val="24"/>
              </w:rPr>
            </w:pPr>
            <w:r>
              <w:rPr>
                <w:bCs/>
                <w:color w:val="000000"/>
                <w:kern w:val="0"/>
                <w:sz w:val="24"/>
                <w:szCs w:val="24"/>
              </w:rPr>
              <w:t>单位</w:t>
            </w:r>
          </w:p>
        </w:tc>
        <w:tc>
          <w:tcPr>
            <w:tcW w:w="1197" w:type="dxa"/>
            <w:vAlign w:val="center"/>
          </w:tcPr>
          <w:p>
            <w:pPr>
              <w:spacing w:line="360" w:lineRule="auto"/>
              <w:jc w:val="center"/>
              <w:rPr>
                <w:bCs/>
                <w:color w:val="000000"/>
                <w:sz w:val="24"/>
                <w:szCs w:val="24"/>
              </w:rPr>
            </w:pPr>
            <w:r>
              <w:rPr>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eastAsia"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1</w:t>
            </w:r>
          </w:p>
        </w:tc>
        <w:tc>
          <w:tcPr>
            <w:tcW w:w="4515" w:type="dxa"/>
            <w:vAlign w:val="center"/>
          </w:tcPr>
          <w:p>
            <w:pPr>
              <w:spacing w:line="360" w:lineRule="auto"/>
              <w:jc w:val="center"/>
              <w:rPr>
                <w:rFonts w:ascii="宋体" w:hAnsi="宋体" w:cs="宋体"/>
                <w:bCs/>
                <w:color w:val="000000"/>
                <w:kern w:val="0"/>
                <w:sz w:val="24"/>
                <w:szCs w:val="24"/>
              </w:rPr>
            </w:pPr>
            <w:r>
              <w:rPr>
                <w:rStyle w:val="28"/>
                <w:rFonts w:hint="eastAsia"/>
                <w:sz w:val="24"/>
                <w:szCs w:val="24"/>
                <w:lang w:val="en-US" w:eastAsia="zh-CN" w:bidi="ar"/>
              </w:rPr>
              <w:t>单人上铺床架</w:t>
            </w:r>
          </w:p>
        </w:tc>
        <w:tc>
          <w:tcPr>
            <w:tcW w:w="1190" w:type="dxa"/>
            <w:vAlign w:val="center"/>
          </w:tcPr>
          <w:p>
            <w:pPr>
              <w:spacing w:line="360" w:lineRule="auto"/>
              <w:jc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eastAsia="zh-CN"/>
              </w:rPr>
              <w:t>组</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eastAsia"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2</w:t>
            </w:r>
          </w:p>
        </w:tc>
        <w:tc>
          <w:tcPr>
            <w:tcW w:w="4515" w:type="dxa"/>
            <w:vAlign w:val="center"/>
          </w:tcPr>
          <w:p>
            <w:pPr>
              <w:spacing w:line="360" w:lineRule="auto"/>
              <w:jc w:val="center"/>
              <w:rPr>
                <w:rFonts w:ascii="宋体" w:hAnsi="宋体" w:cs="宋体"/>
                <w:color w:val="000000"/>
                <w:sz w:val="24"/>
                <w:szCs w:val="24"/>
              </w:rPr>
            </w:pPr>
            <w:r>
              <w:rPr>
                <w:rFonts w:hint="eastAsia" w:ascii="宋体" w:hAnsi="宋体" w:eastAsia="宋体" w:cs="宋体"/>
                <w:color w:val="000000"/>
                <w:kern w:val="0"/>
                <w:sz w:val="24"/>
                <w:szCs w:val="24"/>
                <w:lang w:val="en-US" w:eastAsia="zh-CN" w:bidi="ar"/>
              </w:rPr>
              <w:t>书桌组合衣柜</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套</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default"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3</w:t>
            </w:r>
          </w:p>
        </w:tc>
        <w:tc>
          <w:tcPr>
            <w:tcW w:w="4515" w:type="dxa"/>
            <w:vAlign w:val="center"/>
          </w:tcPr>
          <w:p>
            <w:pPr>
              <w:spacing w:line="360" w:lineRule="auto"/>
              <w:jc w:val="center"/>
              <w:rPr>
                <w:rFonts w:ascii="宋体" w:hAnsi="宋体" w:cs="宋体"/>
                <w:color w:val="000000"/>
                <w:sz w:val="24"/>
                <w:szCs w:val="24"/>
              </w:rPr>
            </w:pPr>
            <w:r>
              <w:rPr>
                <w:rFonts w:hint="eastAsia" w:ascii="宋体" w:hAnsi="宋体" w:cs="宋体"/>
                <w:color w:val="000000"/>
                <w:kern w:val="0"/>
                <w:sz w:val="24"/>
                <w:szCs w:val="24"/>
                <w:lang w:val="en-US" w:eastAsia="zh-CN" w:bidi="ar"/>
              </w:rPr>
              <w:t>三人储物</w:t>
            </w:r>
            <w:r>
              <w:rPr>
                <w:rFonts w:hint="eastAsia" w:ascii="宋体" w:hAnsi="宋体" w:cs="宋体"/>
                <w:color w:val="000000"/>
                <w:kern w:val="0"/>
                <w:sz w:val="24"/>
                <w:szCs w:val="24"/>
                <w:lang w:bidi="ar"/>
              </w:rPr>
              <w:t xml:space="preserve">柜 </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只</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default" w:ascii="宋体" w:hAnsi="宋体" w:cs="宋体"/>
                <w:bCs/>
                <w:color w:val="000000"/>
                <w:kern w:val="0"/>
                <w:sz w:val="24"/>
                <w:szCs w:val="24"/>
                <w:lang w:val="en-US" w:eastAsia="zh-CN"/>
              </w:rPr>
            </w:pPr>
            <w:r>
              <w:rPr>
                <w:rFonts w:hint="eastAsia" w:ascii="宋体" w:hAnsi="宋体" w:cs="宋体"/>
                <w:bCs/>
                <w:color w:val="000000"/>
                <w:kern w:val="0"/>
                <w:sz w:val="24"/>
                <w:szCs w:val="24"/>
                <w:lang w:val="en-US" w:eastAsia="zh-CN"/>
              </w:rPr>
              <w:t>4</w:t>
            </w:r>
          </w:p>
        </w:tc>
        <w:tc>
          <w:tcPr>
            <w:tcW w:w="4515"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椅子</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把</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bl>
    <w:p>
      <w:pPr>
        <w:widowControl/>
        <w:jc w:val="left"/>
        <w:textAlignment w:val="center"/>
        <w:rPr>
          <w:rFonts w:hint="eastAsia"/>
          <w:b/>
          <w:color w:val="000000"/>
          <w:sz w:val="24"/>
          <w:lang w:val="en-US" w:eastAsia="zh-CN"/>
        </w:rPr>
      </w:pPr>
    </w:p>
    <w:p>
      <w:pPr>
        <w:widowControl/>
        <w:ind w:firstLine="482" w:firstLineChars="200"/>
        <w:jc w:val="left"/>
        <w:textAlignment w:val="center"/>
        <w:rPr>
          <w:rFonts w:hint="default" w:ascii="宋体" w:hAnsi="宋体" w:eastAsia="宋体" w:cs="宋体"/>
          <w:sz w:val="32"/>
          <w:szCs w:val="32"/>
          <w:lang w:val="en-US" w:eastAsia="zh-CN"/>
        </w:rPr>
      </w:pPr>
      <w:r>
        <w:rPr>
          <w:rFonts w:hint="eastAsia"/>
          <w:b/>
          <w:color w:val="000000"/>
          <w:sz w:val="24"/>
          <w:lang w:val="en-US" w:eastAsia="zh-CN"/>
        </w:rPr>
        <w:t>6人间标准间布局图如下：</w:t>
      </w:r>
    </w:p>
    <w:p>
      <w:pPr>
        <w:spacing w:line="360" w:lineRule="auto"/>
        <w:jc w:val="center"/>
        <w:rPr>
          <w:rFonts w:hint="eastAsia" w:ascii="宋体" w:hAnsi="宋体" w:eastAsia="宋体" w:cs="宋体"/>
          <w:color w:val="000000"/>
          <w:kern w:val="0"/>
          <w:sz w:val="21"/>
          <w:szCs w:val="21"/>
          <w:lang w:val="en-US" w:eastAsia="zh-CN" w:bidi="ar"/>
        </w:rPr>
      </w:pPr>
    </w:p>
    <w:p>
      <w:pPr>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6人间宿舍家具平面布局图</w:t>
      </w:r>
    </w:p>
    <w:p>
      <w:pPr>
        <w:widowControl/>
        <w:jc w:val="center"/>
        <w:textAlignment w:val="center"/>
        <w:rPr>
          <w:rFonts w:hint="eastAsia" w:eastAsia="宋体"/>
          <w:lang w:eastAsia="zh-CN"/>
        </w:rPr>
      </w:pPr>
    </w:p>
    <w:p>
      <w:pPr>
        <w:widowControl/>
        <w:jc w:val="center"/>
        <w:textAlignment w:val="center"/>
        <w:rPr>
          <w:b/>
          <w:bCs/>
        </w:rPr>
      </w:pPr>
      <w:r>
        <w:drawing>
          <wp:inline distT="0" distB="0" distL="114300" distR="114300">
            <wp:extent cx="5323840" cy="2443480"/>
            <wp:effectExtent l="0" t="0" r="10160" b="139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323840" cy="2443480"/>
                    </a:xfrm>
                    <a:prstGeom prst="rect">
                      <a:avLst/>
                    </a:prstGeom>
                    <a:noFill/>
                    <a:ln>
                      <a:noFill/>
                    </a:ln>
                  </pic:spPr>
                </pic:pic>
              </a:graphicData>
            </a:graphic>
          </wp:inline>
        </w:drawing>
      </w:r>
      <w:r>
        <w:br w:type="page"/>
      </w:r>
      <w:r>
        <w:rPr>
          <w:rFonts w:hint="eastAsia" w:ascii="宋体" w:hAnsi="宋体" w:eastAsia="宋体" w:cs="宋体"/>
          <w:b/>
          <w:bCs/>
          <w:color w:val="000000"/>
          <w:kern w:val="0"/>
          <w:sz w:val="21"/>
          <w:szCs w:val="21"/>
          <w:lang w:val="en-US" w:eastAsia="zh-CN" w:bidi="ar"/>
        </w:rPr>
        <w:t>6人间宿舍家具立面布局图</w:t>
      </w:r>
    </w:p>
    <w:p>
      <w:pPr>
        <w:numPr>
          <w:ilvl w:val="0"/>
          <w:numId w:val="0"/>
        </w:numPr>
        <w:spacing w:line="360" w:lineRule="auto"/>
      </w:pPr>
      <w:r>
        <w:drawing>
          <wp:inline distT="0" distB="0" distL="114300" distR="114300">
            <wp:extent cx="4714875" cy="3555365"/>
            <wp:effectExtent l="0" t="0" r="9525" b="698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4714875" cy="3555365"/>
                    </a:xfrm>
                    <a:prstGeom prst="rect">
                      <a:avLst/>
                    </a:prstGeom>
                    <a:noFill/>
                    <a:ln>
                      <a:noFill/>
                    </a:ln>
                  </pic:spPr>
                </pic:pic>
              </a:graphicData>
            </a:graphic>
          </wp:inline>
        </w:drawing>
      </w:r>
    </w:p>
    <w:p>
      <w:pPr>
        <w:numPr>
          <w:ilvl w:val="0"/>
          <w:numId w:val="0"/>
        </w:numPr>
        <w:spacing w:line="360" w:lineRule="auto"/>
        <w:ind w:leftChars="200"/>
      </w:pPr>
      <w:r>
        <w:rPr>
          <w:rFonts w:hint="eastAsia"/>
          <w:b/>
          <w:color w:val="000000"/>
          <w:sz w:val="24"/>
          <w:lang w:val="en-US" w:eastAsia="zh-CN"/>
        </w:rPr>
        <w:t>二、</w:t>
      </w:r>
      <w:r>
        <w:rPr>
          <w:b/>
          <w:color w:val="000000"/>
          <w:sz w:val="24"/>
        </w:rPr>
        <w:t>技术参数</w:t>
      </w:r>
      <w:r>
        <w:rPr>
          <w:rFonts w:hint="eastAsia"/>
          <w:b/>
          <w:color w:val="000000"/>
          <w:sz w:val="24"/>
        </w:rPr>
        <w:t>要求</w:t>
      </w:r>
    </w:p>
    <w:tbl>
      <w:tblPr>
        <w:tblStyle w:val="17"/>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jc w:val="center"/>
              <w:rPr>
                <w:rFonts w:eastAsiaTheme="minorEastAsia"/>
                <w:color w:val="000000"/>
                <w:szCs w:val="21"/>
                <w:lang w:val="zh-CN"/>
              </w:rPr>
            </w:pPr>
            <w:r>
              <w:rPr>
                <w:rStyle w:val="28"/>
                <w:rFonts w:hint="eastAsia"/>
                <w:sz w:val="18"/>
                <w:szCs w:val="18"/>
                <w:lang w:val="en-US" w:eastAsia="zh-CN" w:bidi="ar"/>
              </w:rPr>
              <w:t>单人上铺床架</w:t>
            </w:r>
          </w:p>
        </w:tc>
        <w:tc>
          <w:tcPr>
            <w:tcW w:w="5666" w:type="dxa"/>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lang w:eastAsia="zh-CN"/>
              </w:rPr>
            </w:pPr>
            <w:r>
              <w:rPr>
                <w:rFonts w:hint="eastAsia"/>
                <w:sz w:val="18"/>
                <w:szCs w:val="18"/>
                <w:lang w:eastAsia="zh-CN"/>
              </w:rPr>
              <w:t>一、规格：</w:t>
            </w:r>
            <w:r>
              <w:rPr>
                <w:rFonts w:hint="eastAsia"/>
                <w:sz w:val="18"/>
                <w:szCs w:val="18"/>
                <w:lang w:val="en-US" w:eastAsia="zh-CN"/>
              </w:rPr>
              <w:t>200</w:t>
            </w:r>
            <w:r>
              <w:rPr>
                <w:rFonts w:hint="eastAsia"/>
                <w:sz w:val="18"/>
                <w:szCs w:val="18"/>
              </w:rPr>
              <w:t>0×</w:t>
            </w:r>
            <w:r>
              <w:rPr>
                <w:rFonts w:hint="eastAsia"/>
                <w:sz w:val="18"/>
                <w:szCs w:val="18"/>
                <w:lang w:val="en-US" w:eastAsia="zh-CN"/>
              </w:rPr>
              <w:t>900</w:t>
            </w:r>
            <w:r>
              <w:rPr>
                <w:rFonts w:hint="eastAsia"/>
                <w:sz w:val="18"/>
                <w:szCs w:val="18"/>
              </w:rPr>
              <w:t>×</w:t>
            </w:r>
            <w:r>
              <w:rPr>
                <w:rFonts w:hint="eastAsia"/>
                <w:sz w:val="18"/>
                <w:szCs w:val="18"/>
                <w:lang w:val="en-US" w:eastAsia="zh-CN"/>
              </w:rPr>
              <w:t>29</w:t>
            </w:r>
            <w:r>
              <w:rPr>
                <w:rFonts w:hint="eastAsia"/>
                <w:sz w:val="18"/>
                <w:szCs w:val="18"/>
              </w:rPr>
              <w:t>00mm</w:t>
            </w:r>
          </w:p>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rPr>
            </w:pPr>
            <w:r>
              <w:rPr>
                <w:rFonts w:hint="eastAsia"/>
                <w:sz w:val="18"/>
                <w:szCs w:val="18"/>
                <w:lang w:eastAsia="zh-CN"/>
              </w:rPr>
              <w:t>二、</w:t>
            </w:r>
            <w:r>
              <w:rPr>
                <w:rFonts w:hint="eastAsia"/>
                <w:sz w:val="18"/>
                <w:szCs w:val="18"/>
              </w:rPr>
              <w:t>用材：</w:t>
            </w:r>
          </w:p>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rPr>
            </w:pPr>
            <w:r>
              <w:rPr>
                <w:rFonts w:hint="eastAsia"/>
                <w:sz w:val="18"/>
                <w:szCs w:val="18"/>
              </w:rPr>
              <w:t>1</w:t>
            </w:r>
            <w:r>
              <w:rPr>
                <w:rFonts w:hint="eastAsia"/>
                <w:sz w:val="18"/>
                <w:szCs w:val="18"/>
                <w:lang w:val="en-US" w:eastAsia="zh-CN"/>
              </w:rPr>
              <w:t>.</w:t>
            </w:r>
            <w:r>
              <w:rPr>
                <w:rFonts w:hint="eastAsia"/>
                <w:sz w:val="18"/>
                <w:szCs w:val="18"/>
              </w:rPr>
              <w:t>床立柱</w:t>
            </w:r>
            <w:r>
              <w:rPr>
                <w:rFonts w:hint="eastAsia"/>
                <w:sz w:val="18"/>
                <w:szCs w:val="18"/>
                <w:lang w:val="en-US" w:eastAsia="zh-CN"/>
              </w:rPr>
              <w:t>:≥</w:t>
            </w:r>
            <w:r>
              <w:rPr>
                <w:rFonts w:hint="eastAsia"/>
                <w:sz w:val="18"/>
                <w:szCs w:val="18"/>
              </w:rPr>
              <w:t xml:space="preserve"> 6</w:t>
            </w:r>
            <w:r>
              <w:rPr>
                <w:rFonts w:hint="eastAsia"/>
                <w:sz w:val="18"/>
                <w:szCs w:val="18"/>
                <w:lang w:val="en-US" w:eastAsia="zh-CN"/>
              </w:rPr>
              <w:t>0</w:t>
            </w:r>
            <w:r>
              <w:rPr>
                <w:rFonts w:hint="eastAsia"/>
                <w:sz w:val="18"/>
                <w:szCs w:val="18"/>
              </w:rPr>
              <w:t>*6</w:t>
            </w:r>
            <w:r>
              <w:rPr>
                <w:rFonts w:hint="eastAsia"/>
                <w:sz w:val="18"/>
                <w:szCs w:val="18"/>
                <w:lang w:val="en-US" w:eastAsia="zh-CN"/>
              </w:rPr>
              <w:t>0</w:t>
            </w:r>
            <w:r>
              <w:rPr>
                <w:rFonts w:hint="eastAsia"/>
                <w:sz w:val="18"/>
                <w:szCs w:val="18"/>
              </w:rPr>
              <w:t>*1.5mm优质异形钢柱。</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rPr>
            </w:pPr>
            <w:r>
              <w:rPr>
                <w:rFonts w:hint="eastAsia"/>
                <w:sz w:val="18"/>
                <w:szCs w:val="18"/>
              </w:rPr>
              <w:t>2</w:t>
            </w:r>
            <w:r>
              <w:rPr>
                <w:rFonts w:hint="eastAsia"/>
                <w:sz w:val="18"/>
                <w:szCs w:val="18"/>
                <w:lang w:val="en-US" w:eastAsia="zh-CN"/>
              </w:rPr>
              <w:t>.</w:t>
            </w:r>
            <w:r>
              <w:rPr>
                <w:rFonts w:hint="eastAsia"/>
                <w:sz w:val="18"/>
                <w:szCs w:val="18"/>
              </w:rPr>
              <w:t>床后横梁：</w:t>
            </w:r>
            <w:r>
              <w:rPr>
                <w:rFonts w:hint="eastAsia"/>
                <w:sz w:val="18"/>
                <w:szCs w:val="18"/>
                <w:lang w:val="en-US" w:eastAsia="zh-CN"/>
              </w:rPr>
              <w:t>≥5</w:t>
            </w:r>
            <w:r>
              <w:rPr>
                <w:rFonts w:hint="eastAsia"/>
                <w:sz w:val="18"/>
                <w:szCs w:val="18"/>
              </w:rPr>
              <w:t>0*50*1.5mm异形封闭钢管。</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rPr>
            </w:pPr>
            <w:r>
              <w:rPr>
                <w:rFonts w:hint="eastAsia"/>
                <w:sz w:val="18"/>
                <w:szCs w:val="18"/>
              </w:rPr>
              <w:t>3</w:t>
            </w:r>
            <w:r>
              <w:rPr>
                <w:rFonts w:hint="eastAsia"/>
                <w:sz w:val="18"/>
                <w:szCs w:val="18"/>
                <w:lang w:val="en-US" w:eastAsia="zh-CN"/>
              </w:rPr>
              <w:t>.</w:t>
            </w:r>
            <w:r>
              <w:rPr>
                <w:rFonts w:hint="eastAsia"/>
                <w:sz w:val="18"/>
                <w:szCs w:val="18"/>
              </w:rPr>
              <w:t>床前横梁：</w:t>
            </w:r>
            <w:r>
              <w:rPr>
                <w:rFonts w:hint="eastAsia"/>
                <w:sz w:val="18"/>
                <w:szCs w:val="18"/>
                <w:lang w:val="en-US" w:eastAsia="zh-CN"/>
              </w:rPr>
              <w:t>≥5</w:t>
            </w:r>
            <w:r>
              <w:rPr>
                <w:rFonts w:hint="eastAsia"/>
                <w:sz w:val="18"/>
                <w:szCs w:val="18"/>
              </w:rPr>
              <w:t>0*50*1.5mm异形封闭钢管带卡扣。</w:t>
            </w:r>
          </w:p>
          <w:p>
            <w:pPr>
              <w:keepNext w:val="0"/>
              <w:keepLines w:val="0"/>
              <w:pageBreakBefore w:val="0"/>
              <w:kinsoku/>
              <w:wordWrap/>
              <w:overflowPunct/>
              <w:topLinePunct w:val="0"/>
              <w:autoSpaceDE/>
              <w:autoSpaceDN/>
              <w:bidi w:val="0"/>
              <w:adjustRightInd/>
              <w:snapToGrid/>
              <w:spacing w:line="240" w:lineRule="exact"/>
              <w:rPr>
                <w:rFonts w:hint="eastAsia"/>
                <w:sz w:val="18"/>
                <w:szCs w:val="18"/>
              </w:rPr>
            </w:pPr>
            <w:r>
              <w:rPr>
                <w:rFonts w:hint="eastAsia"/>
                <w:sz w:val="18"/>
                <w:szCs w:val="18"/>
              </w:rPr>
              <w:t>4</w:t>
            </w:r>
            <w:r>
              <w:rPr>
                <w:rFonts w:hint="eastAsia"/>
                <w:sz w:val="18"/>
                <w:szCs w:val="18"/>
                <w:lang w:val="en-US" w:eastAsia="zh-CN"/>
              </w:rPr>
              <w:t>.</w:t>
            </w:r>
            <w:r>
              <w:rPr>
                <w:rFonts w:hint="eastAsia"/>
                <w:sz w:val="18"/>
                <w:szCs w:val="18"/>
              </w:rPr>
              <w:t>短横梁：上短横梁25*100*1.2mm方管；下短横梁25*50*1.2mm方管。</w:t>
            </w:r>
          </w:p>
          <w:p>
            <w:pPr>
              <w:keepNext w:val="0"/>
              <w:keepLines w:val="0"/>
              <w:pageBreakBefore w:val="0"/>
              <w:kinsoku/>
              <w:wordWrap/>
              <w:overflowPunct/>
              <w:topLinePunct w:val="0"/>
              <w:autoSpaceDE/>
              <w:autoSpaceDN/>
              <w:bidi w:val="0"/>
              <w:adjustRightInd/>
              <w:snapToGrid/>
              <w:spacing w:line="240" w:lineRule="exact"/>
              <w:rPr>
                <w:rFonts w:hint="eastAsia"/>
                <w:sz w:val="18"/>
                <w:szCs w:val="18"/>
              </w:rPr>
            </w:pPr>
            <w:r>
              <w:rPr>
                <w:rFonts w:hint="eastAsia"/>
                <w:sz w:val="18"/>
                <w:szCs w:val="18"/>
              </w:rPr>
              <w:t>5</w:t>
            </w:r>
            <w:r>
              <w:rPr>
                <w:rFonts w:hint="eastAsia"/>
                <w:sz w:val="18"/>
                <w:szCs w:val="18"/>
                <w:lang w:val="en-US" w:eastAsia="zh-CN"/>
              </w:rPr>
              <w:t>.</w:t>
            </w:r>
            <w:r>
              <w:rPr>
                <w:rFonts w:hint="eastAsia"/>
                <w:sz w:val="18"/>
                <w:szCs w:val="18"/>
              </w:rPr>
              <w:t>床恒：25*25*1.2mm方管（五根）。</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lang w:eastAsia="zh-CN"/>
              </w:rPr>
            </w:pPr>
            <w:r>
              <w:rPr>
                <w:rFonts w:hint="eastAsia"/>
                <w:sz w:val="18"/>
                <w:szCs w:val="18"/>
              </w:rPr>
              <w:t>6</w:t>
            </w:r>
            <w:r>
              <w:rPr>
                <w:rFonts w:hint="eastAsia"/>
                <w:sz w:val="18"/>
                <w:szCs w:val="18"/>
                <w:lang w:val="en-US" w:eastAsia="zh-CN"/>
              </w:rPr>
              <w:t>.</w:t>
            </w:r>
            <w:r>
              <w:rPr>
                <w:rFonts w:hint="eastAsia"/>
                <w:sz w:val="18"/>
                <w:szCs w:val="18"/>
              </w:rPr>
              <w:t>床护栏：20*20*1.2mm方管框架，内嵌</w:t>
            </w:r>
            <w:r>
              <w:rPr>
                <w:rFonts w:hint="eastAsia"/>
                <w:sz w:val="18"/>
                <w:szCs w:val="18"/>
                <w:lang w:val="en-US" w:eastAsia="zh-CN"/>
              </w:rPr>
              <w:t>一</w:t>
            </w:r>
            <w:r>
              <w:rPr>
                <w:rFonts w:hint="eastAsia"/>
                <w:sz w:val="18"/>
                <w:szCs w:val="18"/>
              </w:rPr>
              <w:t>块700*120mm中空吹塑护栏板，安全栏顶边与床铺面上表面的距离不少于3</w:t>
            </w:r>
            <w:r>
              <w:rPr>
                <w:rFonts w:hint="eastAsia"/>
                <w:sz w:val="18"/>
                <w:szCs w:val="18"/>
                <w:lang w:val="en-US" w:eastAsia="zh-CN"/>
              </w:rPr>
              <w:t>2</w:t>
            </w:r>
            <w:r>
              <w:rPr>
                <w:rFonts w:hint="eastAsia"/>
                <w:sz w:val="18"/>
                <w:szCs w:val="18"/>
              </w:rPr>
              <w:t>0㎜，美观又可防止东西滑落。</w:t>
            </w:r>
            <w:r>
              <w:rPr>
                <w:rFonts w:hint="eastAsia"/>
                <w:sz w:val="18"/>
                <w:szCs w:val="18"/>
                <w:lang w:eastAsia="zh-CN"/>
              </w:rPr>
              <w:t>护栏缺口长度</w:t>
            </w:r>
            <w:r>
              <w:rPr>
                <w:rFonts w:hint="eastAsia"/>
                <w:sz w:val="18"/>
                <w:szCs w:val="18"/>
                <w:lang w:val="en-US" w:eastAsia="zh-CN"/>
              </w:rPr>
              <w:t>500-600mm。</w:t>
            </w:r>
            <w:r>
              <w:rPr>
                <w:rFonts w:hint="eastAsia"/>
                <w:sz w:val="18"/>
                <w:szCs w:val="18"/>
              </w:rPr>
              <w:t>床护栏符GBT3325-2017《金属家具通用技术条件》标准：管材无裂缝，焊接件无脱焊气孔、喷涂层无掉色流挂；金属喷漆（塑）涂层理化（硬度≥3H，冲击强度测试无剥落，耐腐蚀100h内溶液中划两道观察 无鼓泡产生、100h后 无锈迹、剥落、起皱、变色和失光等现象等）；</w:t>
            </w:r>
            <w:r>
              <w:rPr>
                <w:rFonts w:hint="eastAsia"/>
                <w:sz w:val="18"/>
                <w:szCs w:val="18"/>
              </w:rPr>
              <w:br w:type="textWrapping"/>
            </w:r>
            <w:r>
              <w:rPr>
                <w:rFonts w:hint="eastAsia"/>
                <w:sz w:val="18"/>
                <w:szCs w:val="18"/>
              </w:rPr>
              <w:t>7</w:t>
            </w:r>
            <w:r>
              <w:rPr>
                <w:rFonts w:hint="eastAsia"/>
                <w:sz w:val="18"/>
                <w:szCs w:val="18"/>
                <w:lang w:val="en-US" w:eastAsia="zh-CN"/>
              </w:rPr>
              <w:t>.</w:t>
            </w:r>
            <w:r>
              <w:rPr>
                <w:rFonts w:hint="eastAsia"/>
                <w:sz w:val="18"/>
                <w:szCs w:val="18"/>
              </w:rPr>
              <w:t>爬梯立柱及踏板：楼梯主杆采用30*50*1.5mm厚的扁圆管制作；楼梯踏板采用2</w:t>
            </w:r>
            <w:r>
              <w:rPr>
                <w:rFonts w:hint="eastAsia"/>
                <w:sz w:val="18"/>
                <w:szCs w:val="18"/>
                <w:lang w:val="en-US" w:eastAsia="zh-CN"/>
              </w:rPr>
              <w:t>.5</w:t>
            </w:r>
            <w:r>
              <w:rPr>
                <w:rFonts w:hint="eastAsia"/>
                <w:sz w:val="18"/>
                <w:szCs w:val="18"/>
              </w:rPr>
              <w:t>mm厚的防滑钢板制作，规格</w:t>
            </w:r>
            <w:r>
              <w:rPr>
                <w:rFonts w:hint="eastAsia"/>
                <w:sz w:val="18"/>
                <w:szCs w:val="18"/>
                <w:lang w:val="en-US" w:eastAsia="zh-CN"/>
              </w:rPr>
              <w:t>403</w:t>
            </w:r>
            <w:r>
              <w:rPr>
                <w:rFonts w:hint="eastAsia"/>
                <w:sz w:val="18"/>
                <w:szCs w:val="18"/>
              </w:rPr>
              <w:t>(内净</w:t>
            </w:r>
            <w:r>
              <w:rPr>
                <w:rFonts w:hint="eastAsia"/>
                <w:sz w:val="18"/>
                <w:szCs w:val="18"/>
                <w:lang w:val="en-US" w:eastAsia="zh-CN"/>
              </w:rPr>
              <w:t>390</w:t>
            </w:r>
            <w:r>
              <w:rPr>
                <w:rFonts w:hint="eastAsia"/>
                <w:sz w:val="18"/>
                <w:szCs w:val="18"/>
              </w:rPr>
              <w:t>)*</w:t>
            </w:r>
            <w:r>
              <w:rPr>
                <w:rFonts w:hint="eastAsia"/>
                <w:sz w:val="18"/>
                <w:szCs w:val="18"/>
                <w:lang w:val="en-US" w:eastAsia="zh-CN"/>
              </w:rPr>
              <w:t>140</w:t>
            </w:r>
            <w:r>
              <w:rPr>
                <w:rFonts w:hint="eastAsia"/>
                <w:sz w:val="18"/>
                <w:szCs w:val="18"/>
              </w:rPr>
              <w:t>*</w:t>
            </w:r>
            <w:r>
              <w:rPr>
                <w:rFonts w:hint="eastAsia"/>
                <w:sz w:val="18"/>
                <w:szCs w:val="18"/>
                <w:lang w:val="en-US" w:eastAsia="zh-CN"/>
              </w:rPr>
              <w:t>23</w:t>
            </w:r>
            <w:r>
              <w:rPr>
                <w:rFonts w:hint="eastAsia"/>
                <w:sz w:val="18"/>
                <w:szCs w:val="18"/>
              </w:rPr>
              <w:t>mm,踏板前端向下</w:t>
            </w:r>
            <w:r>
              <w:rPr>
                <w:rFonts w:hint="eastAsia"/>
                <w:sz w:val="18"/>
                <w:szCs w:val="18"/>
                <w:lang w:val="en-US" w:eastAsia="zh-CN"/>
              </w:rPr>
              <w:t>两次折弯</w:t>
            </w:r>
            <w:r>
              <w:rPr>
                <w:rFonts w:hint="eastAsia"/>
                <w:sz w:val="18"/>
                <w:szCs w:val="18"/>
              </w:rPr>
              <w:t>，保护脚掌，带防滑花纹功能</w:t>
            </w:r>
            <w:r>
              <w:rPr>
                <w:rFonts w:hint="eastAsia"/>
                <w:sz w:val="18"/>
                <w:szCs w:val="18"/>
                <w:lang w:eastAsia="zh-CN"/>
              </w:rPr>
              <w:t>，</w:t>
            </w:r>
            <w:r>
              <w:rPr>
                <w:rFonts w:hint="eastAsia"/>
                <w:sz w:val="18"/>
                <w:szCs w:val="18"/>
              </w:rPr>
              <w:t>踏板镶嵌塑料夜光卡条</w:t>
            </w:r>
            <w:r>
              <w:rPr>
                <w:rFonts w:hint="eastAsia"/>
                <w:sz w:val="18"/>
                <w:szCs w:val="18"/>
                <w:lang w:val="en-US" w:eastAsia="zh-CN"/>
              </w:rPr>
              <w:t>,提醒使用者注意安全</w:t>
            </w:r>
            <w:r>
              <w:rPr>
                <w:rFonts w:hint="eastAsia"/>
                <w:sz w:val="18"/>
                <w:szCs w:val="18"/>
              </w:rPr>
              <w:t>。</w:t>
            </w:r>
            <w:r>
              <w:rPr>
                <w:rFonts w:hint="eastAsia"/>
                <w:sz w:val="18"/>
                <w:szCs w:val="18"/>
                <w:lang w:eastAsia="zh-CN"/>
              </w:rPr>
              <w:t>梯蹬净间距</w:t>
            </w:r>
            <w:r>
              <w:rPr>
                <w:rFonts w:hint="eastAsia"/>
                <w:sz w:val="18"/>
                <w:szCs w:val="18"/>
                <w:lang w:val="en-US" w:eastAsia="zh-CN"/>
              </w:rPr>
              <w:t>300-340mm。</w:t>
            </w:r>
            <w:r>
              <w:rPr>
                <w:rFonts w:hint="eastAsia"/>
                <w:sz w:val="18"/>
                <w:szCs w:val="18"/>
              </w:rPr>
              <w:t>床爬梯符合GB T3325-2017《金属家具通用技术条件》标准：管材无裂缝，焊接件无脱焊气孔、喷涂层无掉色流挂；金属喷漆（塑）涂层理化（硬度≥3H，冲击强度测试无剥落，耐腐蚀100h内溶液中划两道观察 无鼓泡产生、100h后 无锈迹、剥落、起皱、变色和失光等现象等）</w:t>
            </w:r>
            <w:r>
              <w:rPr>
                <w:rFonts w:hint="eastAsia"/>
                <w:sz w:val="18"/>
                <w:szCs w:val="18"/>
                <w:lang w:eastAsia="zh-CN"/>
              </w:rPr>
              <w:t>；</w:t>
            </w:r>
            <w:r>
              <w:rPr>
                <w:rFonts w:hint="eastAsia"/>
                <w:sz w:val="18"/>
                <w:szCs w:val="18"/>
              </w:rPr>
              <w:br w:type="textWrapping"/>
            </w:r>
            <w:r>
              <w:rPr>
                <w:rFonts w:hint="default"/>
                <w:sz w:val="18"/>
                <w:szCs w:val="18"/>
              </w:rPr>
              <w:t>8</w:t>
            </w:r>
            <w:r>
              <w:rPr>
                <w:rFonts w:hint="eastAsia"/>
                <w:sz w:val="18"/>
                <w:szCs w:val="18"/>
                <w:lang w:val="en-US" w:eastAsia="zh-CN"/>
              </w:rPr>
              <w:t>.</w:t>
            </w:r>
            <w:r>
              <w:rPr>
                <w:rFonts w:hint="eastAsia"/>
                <w:sz w:val="18"/>
                <w:szCs w:val="18"/>
              </w:rPr>
              <w:t>床靠背：中空吹塑</w:t>
            </w:r>
            <w:r>
              <w:rPr>
                <w:sz w:val="18"/>
                <w:szCs w:val="18"/>
              </w:rPr>
              <w:t>HDPE</w:t>
            </w:r>
            <w:r>
              <w:rPr>
                <w:rFonts w:hint="eastAsia"/>
                <w:sz w:val="18"/>
                <w:szCs w:val="18"/>
              </w:rPr>
              <w:t>床靠背板，规格为</w:t>
            </w:r>
            <w:r>
              <w:rPr>
                <w:sz w:val="18"/>
                <w:szCs w:val="18"/>
              </w:rPr>
              <w:t>7</w:t>
            </w:r>
            <w:r>
              <w:rPr>
                <w:rFonts w:hint="eastAsia"/>
                <w:sz w:val="18"/>
                <w:szCs w:val="18"/>
              </w:rPr>
              <w:t>55</w:t>
            </w:r>
            <w:r>
              <w:rPr>
                <w:sz w:val="18"/>
                <w:szCs w:val="18"/>
              </w:rPr>
              <w:t>*3</w:t>
            </w:r>
            <w:r>
              <w:rPr>
                <w:rFonts w:hint="eastAsia"/>
                <w:sz w:val="18"/>
                <w:szCs w:val="18"/>
              </w:rPr>
              <w:t>5</w:t>
            </w:r>
            <w:r>
              <w:rPr>
                <w:sz w:val="18"/>
                <w:szCs w:val="18"/>
              </w:rPr>
              <w:t>0mm</w:t>
            </w:r>
            <w:r>
              <w:rPr>
                <w:rFonts w:hint="eastAsia"/>
                <w:sz w:val="18"/>
                <w:szCs w:val="18"/>
              </w:rPr>
              <w:t>，采用全新环保高强度高密度聚乙烯板制作。</w:t>
            </w:r>
            <w:r>
              <w:rPr>
                <w:rFonts w:hint="default"/>
                <w:sz w:val="18"/>
                <w:szCs w:val="18"/>
              </w:rPr>
              <w:br w:type="textWrapping"/>
            </w:r>
            <w:r>
              <w:rPr>
                <w:rFonts w:hint="default"/>
                <w:sz w:val="18"/>
                <w:szCs w:val="18"/>
              </w:rPr>
              <w:t>9</w:t>
            </w:r>
            <w:r>
              <w:rPr>
                <w:rFonts w:hint="eastAsia"/>
                <w:sz w:val="18"/>
                <w:szCs w:val="18"/>
                <w:lang w:val="en-US" w:eastAsia="zh-CN"/>
              </w:rPr>
              <w:t>.</w:t>
            </w:r>
            <w:r>
              <w:rPr>
                <w:rFonts w:hint="default"/>
                <w:sz w:val="18"/>
                <w:szCs w:val="18"/>
              </w:rPr>
              <w:t>蚊帐架：直径19*1.2mm圆管</w:t>
            </w:r>
            <w:r>
              <w:rPr>
                <w:rFonts w:hint="eastAsia"/>
                <w:sz w:val="18"/>
                <w:szCs w:val="18"/>
                <w:lang w:eastAsia="zh-CN"/>
              </w:rPr>
              <w:t>，侧面加两横杆。</w:t>
            </w:r>
            <w:r>
              <w:rPr>
                <w:rFonts w:hint="default"/>
                <w:sz w:val="18"/>
                <w:szCs w:val="18"/>
              </w:rPr>
              <w:br w:type="textWrapping"/>
            </w:r>
            <w:r>
              <w:rPr>
                <w:rFonts w:hint="default"/>
                <w:sz w:val="18"/>
                <w:szCs w:val="18"/>
              </w:rPr>
              <w:t>10</w:t>
            </w:r>
            <w:r>
              <w:rPr>
                <w:rFonts w:hint="eastAsia"/>
                <w:sz w:val="18"/>
                <w:szCs w:val="18"/>
                <w:lang w:val="en-US" w:eastAsia="zh-CN"/>
              </w:rPr>
              <w:t>.</w:t>
            </w:r>
            <w:r>
              <w:rPr>
                <w:rFonts w:hint="default"/>
                <w:sz w:val="18"/>
                <w:szCs w:val="18"/>
              </w:rPr>
              <w:t>塑粉：采用</w:t>
            </w:r>
            <w:r>
              <w:rPr>
                <w:rFonts w:hint="eastAsia"/>
                <w:sz w:val="18"/>
                <w:szCs w:val="18"/>
                <w:lang w:val="en-US" w:eastAsia="zh-CN"/>
              </w:rPr>
              <w:t>优质</w:t>
            </w:r>
            <w:r>
              <w:rPr>
                <w:rFonts w:hint="default"/>
                <w:sz w:val="18"/>
                <w:szCs w:val="18"/>
              </w:rPr>
              <w:t>环氧型聚酯粉末，静电喷塑，无磷塑粉，无毒并具有极强防腐、防锈效果，确保长期使用不易生锈，经久耐用，美观大方；</w:t>
            </w:r>
            <w:r>
              <w:rPr>
                <w:rFonts w:hint="default"/>
                <w:sz w:val="18"/>
                <w:szCs w:val="18"/>
              </w:rPr>
              <w:br w:type="textWrapping"/>
            </w:r>
            <w:r>
              <w:rPr>
                <w:rFonts w:hint="default"/>
                <w:sz w:val="18"/>
                <w:szCs w:val="18"/>
              </w:rPr>
              <w:t>11</w:t>
            </w:r>
            <w:r>
              <w:rPr>
                <w:rFonts w:hint="eastAsia"/>
                <w:sz w:val="18"/>
                <w:szCs w:val="18"/>
                <w:lang w:val="en-US" w:eastAsia="zh-CN"/>
              </w:rPr>
              <w:t>.</w:t>
            </w:r>
            <w:r>
              <w:rPr>
                <w:rFonts w:hint="default"/>
                <w:sz w:val="18"/>
                <w:szCs w:val="18"/>
              </w:rPr>
              <w:t>床板：板条采用≥1</w:t>
            </w:r>
            <w:r>
              <w:rPr>
                <w:rFonts w:hint="eastAsia"/>
                <w:sz w:val="18"/>
                <w:szCs w:val="18"/>
                <w:lang w:val="en-US" w:eastAsia="zh-CN"/>
              </w:rPr>
              <w:t>5</w:t>
            </w:r>
            <w:r>
              <w:rPr>
                <w:rFonts w:hint="default"/>
                <w:sz w:val="18"/>
                <w:szCs w:val="18"/>
              </w:rPr>
              <w:t>mm，10条厚杉木板条均匀制作，底部30*40*4根实木档，无结巴抛光硬木横档固定床板，所有木材均四周倒角、刨光、光滑，经防腐、防霉、防蛀、干燥处理；</w:t>
            </w:r>
            <w:r>
              <w:rPr>
                <w:rFonts w:hint="eastAsia"/>
                <w:sz w:val="18"/>
                <w:szCs w:val="18"/>
              </w:rPr>
              <w:t>杉木板铺板符合GB/T3324-2014《木家具通用技术条件》及GB 18584-2001《室内装饰装修材料 木家具中有害物质限量》要求：含水率控制为9%-13%，木制件外观（裂缝、虫蛀、腐朽材、树脂囊、节子）均无缺陷，甲醛释放量低于0.1mg/L;</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sz w:val="18"/>
                <w:szCs w:val="18"/>
                <w:lang w:val="en-US" w:eastAsia="zh-CN"/>
              </w:rPr>
            </w:pPr>
            <w:r>
              <w:rPr>
                <w:rFonts w:hint="default"/>
                <w:sz w:val="18"/>
                <w:szCs w:val="18"/>
              </w:rPr>
              <w:t>12</w:t>
            </w:r>
            <w:r>
              <w:rPr>
                <w:rFonts w:hint="eastAsia"/>
                <w:sz w:val="18"/>
                <w:szCs w:val="18"/>
                <w:lang w:val="en-US" w:eastAsia="zh-CN"/>
              </w:rPr>
              <w:t>.立柱封口采用优质pp塑料的静音内塞，</w:t>
            </w:r>
            <w:r>
              <w:rPr>
                <w:rFonts w:hint="default"/>
                <w:sz w:val="18"/>
                <w:szCs w:val="18"/>
                <w:lang w:val="en-US" w:eastAsia="zh-CN"/>
              </w:rPr>
              <w:t>立</w:t>
            </w:r>
            <w:r>
              <w:rPr>
                <w:rFonts w:hint="default"/>
                <w:sz w:val="18"/>
                <w:szCs w:val="18"/>
              </w:rPr>
              <w:t>柱下戴防水外包脚套。</w:t>
            </w:r>
            <w:r>
              <w:rPr>
                <w:rFonts w:hint="eastAsia"/>
                <w:b/>
                <w:bCs/>
                <w:color w:val="000000" w:themeColor="text1"/>
                <w:sz w:val="18"/>
                <w:szCs w:val="18"/>
                <w:u w:val="single"/>
                <w:lang w:val="en-US" w:eastAsia="zh-CN"/>
                <w14:textFill>
                  <w14:solidFill>
                    <w14:schemeClr w14:val="tx1"/>
                  </w14:solidFill>
                </w14:textFill>
              </w:rPr>
              <w:t>床架与墙体采用恰当的方式有效固定，确保不摇晃。</w:t>
            </w:r>
          </w:p>
          <w:p>
            <w:pPr>
              <w:keepNext w:val="0"/>
              <w:keepLines w:val="0"/>
              <w:pageBreakBefore w:val="0"/>
              <w:kinsoku/>
              <w:wordWrap/>
              <w:overflowPunct/>
              <w:topLinePunct w:val="0"/>
              <w:autoSpaceDE/>
              <w:autoSpaceDN/>
              <w:bidi w:val="0"/>
              <w:adjustRightInd/>
              <w:snapToGrid/>
              <w:spacing w:line="240" w:lineRule="exact"/>
              <w:rPr>
                <w:rFonts w:hint="default"/>
                <w:sz w:val="18"/>
                <w:szCs w:val="18"/>
              </w:rPr>
            </w:pPr>
            <w:r>
              <w:rPr>
                <w:rFonts w:hint="eastAsia"/>
                <w:sz w:val="18"/>
                <w:szCs w:val="18"/>
                <w:lang w:val="en-US" w:eastAsia="zh-CN"/>
              </w:rPr>
              <w:t>13.</w:t>
            </w:r>
            <w:r>
              <w:rPr>
                <w:rFonts w:hint="eastAsia"/>
                <w:sz w:val="18"/>
                <w:szCs w:val="18"/>
              </w:rPr>
              <w:t>产品技术要求：</w:t>
            </w:r>
            <w:r>
              <w:rPr>
                <w:rFonts w:hint="eastAsia"/>
                <w:sz w:val="18"/>
                <w:szCs w:val="18"/>
                <w:lang w:val="en-US" w:eastAsia="zh-CN"/>
              </w:rPr>
              <w:t>单人上铺床架</w:t>
            </w:r>
            <w:r>
              <w:rPr>
                <w:rFonts w:hint="default"/>
                <w:sz w:val="18"/>
                <w:szCs w:val="18"/>
              </w:rPr>
              <w:t>符合</w:t>
            </w:r>
            <w:r>
              <w:rPr>
                <w:rFonts w:hint="eastAsia"/>
                <w:sz w:val="18"/>
                <w:szCs w:val="18"/>
              </w:rPr>
              <w:t>QB/T 2741-2013 《学生公寓多功能家具》GB 18584-2001 《室内装饰装修材料 木家具中有害物质限量》的标准要求，床铺高≥1550mm，梯蹬净间距D:300～340mm,梯蹬宽度W4≥50mm；</w:t>
            </w:r>
            <w:r>
              <w:rPr>
                <w:rFonts w:hint="eastAsia"/>
                <w:sz w:val="18"/>
                <w:szCs w:val="18"/>
                <w:lang w:val="en-US" w:eastAsia="zh-CN"/>
              </w:rPr>
              <w:t>平整度</w:t>
            </w:r>
            <w:r>
              <w:rPr>
                <w:rFonts w:hint="default"/>
                <w:sz w:val="18"/>
                <w:szCs w:val="18"/>
                <w:lang w:val="en-US" w:eastAsia="zh-CN"/>
              </w:rPr>
              <w:t>≤</w:t>
            </w:r>
            <w:r>
              <w:rPr>
                <w:rFonts w:hint="eastAsia"/>
                <w:sz w:val="18"/>
                <w:szCs w:val="18"/>
                <w:lang w:val="en-US" w:eastAsia="zh-CN"/>
              </w:rPr>
              <w:t>0.15；分缝</w:t>
            </w:r>
            <w:r>
              <w:rPr>
                <w:rFonts w:hint="default"/>
                <w:sz w:val="18"/>
                <w:szCs w:val="18"/>
                <w:lang w:val="en-US" w:eastAsia="zh-CN"/>
              </w:rPr>
              <w:t>≤</w:t>
            </w:r>
            <w:r>
              <w:rPr>
                <w:rFonts w:hint="eastAsia"/>
                <w:sz w:val="18"/>
                <w:szCs w:val="18"/>
                <w:lang w:val="en-US" w:eastAsia="zh-CN"/>
              </w:rPr>
              <w:t>0.4；着地平稳性</w:t>
            </w:r>
            <w:r>
              <w:rPr>
                <w:rFonts w:hint="default"/>
                <w:sz w:val="18"/>
                <w:szCs w:val="18"/>
                <w:lang w:val="en-US" w:eastAsia="zh-CN"/>
              </w:rPr>
              <w:t>≤</w:t>
            </w:r>
            <w:r>
              <w:rPr>
                <w:rFonts w:hint="eastAsia"/>
                <w:sz w:val="18"/>
                <w:szCs w:val="18"/>
                <w:lang w:val="en-US" w:eastAsia="zh-CN"/>
              </w:rPr>
              <w:t>0.4；金属外观（焊接件、冲压件、皱纹或波纹、喷涂层等）均符合要求;木制件外观要求；</w:t>
            </w:r>
            <w:r>
              <w:rPr>
                <w:rFonts w:hint="eastAsia"/>
                <w:sz w:val="18"/>
                <w:szCs w:val="18"/>
              </w:rPr>
              <w:t>塑料件外观</w:t>
            </w:r>
            <w:r>
              <w:rPr>
                <w:rFonts w:hint="eastAsia"/>
                <w:sz w:val="18"/>
                <w:szCs w:val="18"/>
                <w:lang w:eastAsia="zh-CN"/>
              </w:rPr>
              <w:t>（</w:t>
            </w:r>
            <w:r>
              <w:rPr>
                <w:rFonts w:hint="eastAsia"/>
                <w:sz w:val="18"/>
                <w:szCs w:val="18"/>
              </w:rPr>
              <w:t>无裂纹变形缩孔气泡杂质伤痕</w:t>
            </w:r>
            <w:r>
              <w:rPr>
                <w:rFonts w:hint="eastAsia"/>
                <w:sz w:val="18"/>
                <w:szCs w:val="18"/>
                <w:lang w:eastAsia="zh-CN"/>
              </w:rPr>
              <w:t>）</w:t>
            </w:r>
            <w:r>
              <w:rPr>
                <w:rFonts w:hint="eastAsia"/>
                <w:sz w:val="18"/>
                <w:szCs w:val="18"/>
              </w:rPr>
              <w:t>；</w:t>
            </w:r>
            <w:r>
              <w:rPr>
                <w:rFonts w:hint="eastAsia"/>
                <w:sz w:val="18"/>
                <w:szCs w:val="18"/>
                <w:lang w:val="en-US" w:eastAsia="zh-CN"/>
              </w:rPr>
              <w:t>标识；木材含水率</w:t>
            </w:r>
            <w:r>
              <w:rPr>
                <w:rFonts w:hint="default"/>
                <w:sz w:val="18"/>
                <w:szCs w:val="18"/>
                <w:lang w:val="en-US" w:eastAsia="zh-CN"/>
              </w:rPr>
              <w:t>≤</w:t>
            </w:r>
            <w:r>
              <w:rPr>
                <w:rFonts w:hint="eastAsia"/>
                <w:sz w:val="18"/>
                <w:szCs w:val="18"/>
                <w:lang w:val="en-US" w:eastAsia="zh-CN"/>
              </w:rPr>
              <w:t>10%；</w:t>
            </w:r>
            <w:r>
              <w:rPr>
                <w:rFonts w:hint="eastAsia"/>
                <w:sz w:val="18"/>
                <w:szCs w:val="18"/>
              </w:rPr>
              <w:t>理化性能（金属件表面涂层）冲击强度、耐湿热：耐腐蚀测试均符合标准；力学性能：床类铺面均布静载荷</w:t>
            </w:r>
            <w:r>
              <w:rPr>
                <w:rFonts w:hint="eastAsia"/>
                <w:sz w:val="18"/>
                <w:szCs w:val="18"/>
                <w:lang w:eastAsia="zh-CN"/>
              </w:rPr>
              <w:t>、</w:t>
            </w:r>
            <w:r>
              <w:rPr>
                <w:rFonts w:hint="eastAsia"/>
                <w:sz w:val="18"/>
                <w:szCs w:val="18"/>
              </w:rPr>
              <w:t>铺面</w:t>
            </w:r>
            <w:r>
              <w:rPr>
                <w:rFonts w:hint="eastAsia"/>
                <w:sz w:val="18"/>
                <w:szCs w:val="18"/>
                <w:lang w:val="en-US" w:eastAsia="zh-CN"/>
              </w:rPr>
              <w:t>集中</w:t>
            </w:r>
            <w:r>
              <w:rPr>
                <w:rFonts w:hint="eastAsia"/>
                <w:sz w:val="18"/>
                <w:szCs w:val="18"/>
              </w:rPr>
              <w:t>静载荷</w:t>
            </w:r>
            <w:r>
              <w:rPr>
                <w:rFonts w:hint="eastAsia"/>
                <w:sz w:val="18"/>
                <w:szCs w:val="18"/>
                <w:lang w:val="en-US" w:eastAsia="zh-CN"/>
              </w:rPr>
              <w:t>及铺面冲击</w:t>
            </w:r>
            <w:r>
              <w:rPr>
                <w:rFonts w:hint="eastAsia"/>
                <w:sz w:val="18"/>
                <w:szCs w:val="18"/>
              </w:rPr>
              <w:t>测试均符合标准；</w:t>
            </w:r>
            <w:r>
              <w:rPr>
                <w:rFonts w:hint="eastAsia"/>
                <w:sz w:val="18"/>
                <w:szCs w:val="18"/>
                <w:lang w:val="en-US" w:eastAsia="zh-CN"/>
              </w:rPr>
              <w:t>扶梯扰度和强度</w:t>
            </w:r>
            <w:r>
              <w:rPr>
                <w:rFonts w:hint="eastAsia"/>
                <w:sz w:val="18"/>
                <w:szCs w:val="18"/>
              </w:rPr>
              <w:t>测试均符合标准</w:t>
            </w:r>
            <w:r>
              <w:rPr>
                <w:rFonts w:hint="eastAsia"/>
                <w:sz w:val="18"/>
                <w:szCs w:val="18"/>
                <w:lang w:val="en-US" w:eastAsia="zh-CN"/>
              </w:rPr>
              <w:t>；</w:t>
            </w:r>
            <w:r>
              <w:rPr>
                <w:rFonts w:hint="eastAsia"/>
                <w:sz w:val="18"/>
                <w:szCs w:val="18"/>
              </w:rPr>
              <w:t>安全栏静载荷测试均符合标准。安装：梯蹬表面应有防滑措施；床板具备防落措施；有害物质限量（甲醛释放量小于0.</w:t>
            </w:r>
            <w:r>
              <w:rPr>
                <w:rFonts w:hint="eastAsia"/>
                <w:sz w:val="18"/>
                <w:szCs w:val="18"/>
                <w:lang w:val="en-US" w:eastAsia="zh-CN"/>
              </w:rPr>
              <w:t>90</w:t>
            </w:r>
            <w:r>
              <w:rPr>
                <w:rFonts w:hint="eastAsia"/>
                <w:sz w:val="18"/>
                <w:szCs w:val="18"/>
              </w:rPr>
              <w:t>mg/L)</w:t>
            </w:r>
            <w:r>
              <w:rPr>
                <w:rFonts w:hint="default"/>
                <w:sz w:val="18"/>
                <w:szCs w:val="18"/>
              </w:rPr>
              <w:t>。</w:t>
            </w:r>
            <w:r>
              <w:rPr>
                <w:rFonts w:hint="default"/>
                <w:sz w:val="18"/>
                <w:szCs w:val="18"/>
              </w:rPr>
              <w:br w:type="textWrapping"/>
            </w:r>
            <w:r>
              <w:rPr>
                <w:rFonts w:hint="eastAsia"/>
                <w:sz w:val="18"/>
                <w:szCs w:val="18"/>
                <w:lang w:eastAsia="zh-CN"/>
              </w:rPr>
              <w:t>三</w:t>
            </w:r>
            <w:r>
              <w:rPr>
                <w:rFonts w:hint="default"/>
                <w:sz w:val="18"/>
                <w:szCs w:val="18"/>
              </w:rPr>
              <w:t>、生产工艺要求：</w:t>
            </w:r>
            <w:r>
              <w:rPr>
                <w:rFonts w:hint="default"/>
                <w:sz w:val="18"/>
                <w:szCs w:val="18"/>
              </w:rPr>
              <w:br w:type="textWrapping"/>
            </w:r>
            <w:r>
              <w:rPr>
                <w:rFonts w:hint="default"/>
                <w:sz w:val="18"/>
                <w:szCs w:val="18"/>
              </w:rPr>
              <w:t>钢管焊接表面要求波纹均匀，焊接处无夹渣、气孔、焊瘤、焊接头咬边和飞溅，并保证无脱焊、虚焊、焊穿等现象，所有金属作脱脂、除锈、酸洗、磷化、干燥等防锈工序处理，无气泡、无裂缝、表面光洁、静电喷塑、烘干处理、高温固化，表面无脱色现象，铁床焊接接头处理必须精细、光滑、牢固，床立柱与横梁，横梁与床桓采用卡扣连接。</w:t>
            </w:r>
          </w:p>
          <w:p>
            <w:pPr>
              <w:keepNext w:val="0"/>
              <w:keepLines w:val="0"/>
              <w:pageBreakBefore w:val="0"/>
              <w:kinsoku/>
              <w:wordWrap/>
              <w:overflowPunct/>
              <w:topLinePunct w:val="0"/>
              <w:autoSpaceDE/>
              <w:autoSpaceDN/>
              <w:bidi w:val="0"/>
              <w:adjustRightInd/>
              <w:snapToGrid/>
              <w:spacing w:line="240" w:lineRule="exact"/>
              <w:rPr>
                <w:rFonts w:hint="default"/>
                <w:sz w:val="18"/>
                <w:szCs w:val="18"/>
                <w:lang w:val="en-US" w:eastAsia="zh-CN"/>
              </w:rPr>
            </w:pPr>
            <w:r>
              <w:rPr>
                <w:rFonts w:hint="eastAsia"/>
                <w:sz w:val="18"/>
                <w:szCs w:val="18"/>
                <w:lang w:eastAsia="zh-CN"/>
              </w:rPr>
              <w:t>四</w:t>
            </w:r>
            <w:r>
              <w:rPr>
                <w:rFonts w:hint="default"/>
                <w:sz w:val="18"/>
                <w:szCs w:val="18"/>
              </w:rPr>
              <w:t>、颜色：由用户选定</w:t>
            </w:r>
            <w:r>
              <w:rPr>
                <w:rFonts w:hint="eastAsia"/>
                <w:sz w:val="18"/>
                <w:szCs w:val="18"/>
                <w:lang w:val="en-US" w:eastAsia="zh-CN"/>
              </w:rPr>
              <w:t xml:space="preserve">  </w:t>
            </w:r>
          </w:p>
          <w:p>
            <w:pPr>
              <w:keepNext w:val="0"/>
              <w:keepLines w:val="0"/>
              <w:pageBreakBefore w:val="0"/>
              <w:kinsoku/>
              <w:wordWrap/>
              <w:overflowPunct/>
              <w:topLinePunct w:val="0"/>
              <w:autoSpaceDE/>
              <w:autoSpaceDN/>
              <w:bidi w:val="0"/>
              <w:adjustRightInd/>
              <w:snapToGrid/>
              <w:spacing w:line="240" w:lineRule="exact"/>
              <w:rPr>
                <w:rFonts w:hint="eastAsia"/>
                <w:sz w:val="18"/>
                <w:szCs w:val="18"/>
                <w:lang w:val="en-US" w:eastAsia="zh-CN"/>
              </w:rPr>
            </w:pPr>
            <w:r>
              <w:rPr>
                <w:rFonts w:hint="eastAsia"/>
                <w:sz w:val="18"/>
                <w:szCs w:val="18"/>
                <w:lang w:val="en-US" w:eastAsia="zh-CN"/>
              </w:rPr>
              <w:t>五、结构参考图。</w:t>
            </w:r>
          </w:p>
          <w:p>
            <w:pPr>
              <w:pStyle w:val="20"/>
              <w:rPr>
                <w:rFonts w:hint="eastAsia"/>
                <w:lang w:val="en-US" w:eastAsia="zh-CN"/>
              </w:rPr>
            </w:pPr>
          </w:p>
          <w:p>
            <w:pPr>
              <w:pStyle w:val="7"/>
              <w:rPr>
                <w:rStyle w:val="28"/>
                <w:rFonts w:hint="eastAsia"/>
                <w:sz w:val="18"/>
                <w:szCs w:val="18"/>
                <w:lang w:val="en-US" w:eastAsia="zh-CN" w:bidi="ar"/>
              </w:rPr>
            </w:pPr>
            <w:r>
              <w:drawing>
                <wp:inline distT="0" distB="0" distL="114300" distR="114300">
                  <wp:extent cx="1955800" cy="2520950"/>
                  <wp:effectExtent l="0" t="0" r="635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55800" cy="2520950"/>
                          </a:xfrm>
                          <a:prstGeom prst="rect">
                            <a:avLst/>
                          </a:prstGeom>
                          <a:noFill/>
                          <a:ln>
                            <a:noFill/>
                          </a:ln>
                        </pic:spPr>
                      </pic:pic>
                    </a:graphicData>
                  </a:graphic>
                </wp:inline>
              </w:drawing>
            </w:r>
          </w:p>
          <w:p>
            <w:pPr>
              <w:pStyle w:val="7"/>
              <w:rPr>
                <w:rStyle w:val="28"/>
                <w:rFonts w:hint="default"/>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2</w:t>
            </w:r>
          </w:p>
        </w:tc>
        <w:tc>
          <w:tcPr>
            <w:tcW w:w="1154" w:type="dxa"/>
            <w:shd w:val="clear" w:color="auto" w:fill="FFFFFF"/>
            <w:vAlign w:val="center"/>
          </w:tcPr>
          <w:p>
            <w:pPr>
              <w:jc w:val="center"/>
              <w:rPr>
                <w:rStyle w:val="28"/>
                <w:rFonts w:hint="eastAsia"/>
                <w:sz w:val="18"/>
                <w:szCs w:val="18"/>
                <w:lang w:val="en-US" w:eastAsia="zh-CN" w:bidi="ar"/>
              </w:rPr>
            </w:pPr>
            <w:r>
              <w:rPr>
                <w:rFonts w:hint="eastAsia" w:ascii="宋体" w:hAnsi="宋体" w:eastAsia="宋体" w:cs="宋体"/>
                <w:color w:val="000000"/>
                <w:kern w:val="0"/>
                <w:sz w:val="18"/>
                <w:szCs w:val="18"/>
                <w:lang w:val="en-US" w:eastAsia="zh-CN" w:bidi="ar"/>
              </w:rPr>
              <w:t>书桌组合衣柜</w:t>
            </w:r>
          </w:p>
        </w:tc>
        <w:tc>
          <w:tcPr>
            <w:tcW w:w="5666" w:type="dxa"/>
            <w:shd w:val="clear" w:color="auto" w:fill="FFFFFF"/>
            <w:vAlign w:val="center"/>
          </w:tcPr>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规格：</w:t>
            </w:r>
            <w:r>
              <w:rPr>
                <w:rFonts w:hint="eastAsia" w:ascii="宋体" w:hAnsi="宋体" w:cs="宋体"/>
                <w:color w:val="auto"/>
                <w:kern w:val="0"/>
                <w:sz w:val="18"/>
                <w:szCs w:val="18"/>
                <w:lang w:bidi="ar"/>
              </w:rPr>
              <w:t>1</w:t>
            </w:r>
            <w:r>
              <w:rPr>
                <w:rFonts w:hint="eastAsia" w:ascii="宋体" w:hAnsi="宋体" w:cs="宋体"/>
                <w:color w:val="auto"/>
                <w:kern w:val="0"/>
                <w:sz w:val="18"/>
                <w:szCs w:val="18"/>
                <w:lang w:val="en-US" w:eastAsia="zh-CN" w:bidi="ar"/>
              </w:rPr>
              <w:t>935</w:t>
            </w:r>
            <w:r>
              <w:rPr>
                <w:rFonts w:hint="eastAsia" w:ascii="宋体" w:hAnsi="宋体" w:cs="宋体"/>
                <w:color w:val="auto"/>
                <w:kern w:val="0"/>
                <w:sz w:val="18"/>
                <w:szCs w:val="18"/>
                <w:lang w:bidi="ar"/>
              </w:rPr>
              <w:t>×600×</w:t>
            </w:r>
            <w:r>
              <w:rPr>
                <w:rFonts w:hint="eastAsia" w:ascii="宋体" w:hAnsi="宋体" w:cs="宋体"/>
                <w:color w:val="auto"/>
                <w:kern w:val="0"/>
                <w:sz w:val="18"/>
                <w:szCs w:val="18"/>
                <w:lang w:val="en-US" w:eastAsia="zh-CN" w:bidi="ar"/>
              </w:rPr>
              <w:t>1700</w:t>
            </w:r>
            <w:r>
              <w:rPr>
                <w:rFonts w:hint="eastAsia" w:ascii="宋体" w:hAnsi="宋体" w:cs="宋体"/>
                <w:color w:val="auto"/>
                <w:kern w:val="0"/>
                <w:sz w:val="18"/>
                <w:szCs w:val="18"/>
                <w:lang w:bidi="ar"/>
              </w:rPr>
              <w:t>mm</w:t>
            </w:r>
            <w:r>
              <w:rPr>
                <w:rFonts w:hint="eastAsia" w:ascii="宋体" w:hAnsi="宋体" w:cs="宋体"/>
                <w:color w:val="auto"/>
                <w:kern w:val="0"/>
                <w:sz w:val="18"/>
                <w:szCs w:val="18"/>
                <w:lang w:eastAsia="zh-CN" w:bidi="ar"/>
              </w:rPr>
              <w:t>，</w:t>
            </w:r>
            <w:r>
              <w:rPr>
                <w:rFonts w:hint="eastAsia" w:ascii="宋体" w:hAnsi="宋体" w:cs="宋体"/>
                <w:color w:val="auto"/>
                <w:kern w:val="0"/>
                <w:sz w:val="18"/>
                <w:szCs w:val="18"/>
                <w:lang w:bidi="ar"/>
              </w:rPr>
              <w:t>具体尺寸与公寓床需相吻合</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结构及用材</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结构：写字桌组合柜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lang w:bidi="ar"/>
              </w:rPr>
            </w:pPr>
            <w:r>
              <w:rPr>
                <w:rFonts w:hint="eastAsia" w:ascii="宋体" w:hAnsi="宋体" w:cs="宋体"/>
                <w:color w:val="000000"/>
                <w:kern w:val="0"/>
                <w:sz w:val="18"/>
                <w:szCs w:val="18"/>
                <w:lang w:val="en-US" w:eastAsia="zh-CN" w:bidi="ar"/>
              </w:rPr>
              <w:t>2.</w:t>
            </w:r>
            <w:r>
              <w:rPr>
                <w:rFonts w:hint="eastAsia" w:ascii="宋体" w:hAnsi="宋体" w:cs="宋体"/>
                <w:color w:val="000000"/>
                <w:kern w:val="0"/>
                <w:sz w:val="18"/>
                <w:szCs w:val="18"/>
                <w:lang w:bidi="ar"/>
              </w:rPr>
              <w:t>用材及工艺要求</w:t>
            </w:r>
            <w:r>
              <w:rPr>
                <w:rFonts w:hint="eastAsia" w:ascii="宋体" w:hAnsi="宋体" w:cs="宋体"/>
                <w:sz w:val="18"/>
                <w:szCs w:val="18"/>
              </w:rPr>
              <w:t>：</w:t>
            </w:r>
            <w:r>
              <w:rPr>
                <w:rFonts w:hint="eastAsia" w:ascii="宋体" w:hAnsi="宋体" w:cs="宋体"/>
                <w:sz w:val="18"/>
                <w:szCs w:val="18"/>
                <w:lang w:eastAsia="zh-CN"/>
              </w:rPr>
              <w:t>采用实木多层板，</w:t>
            </w:r>
            <w:r>
              <w:rPr>
                <w:rFonts w:hint="eastAsia" w:ascii="宋体" w:hAnsi="宋体" w:cs="宋体"/>
                <w:sz w:val="18"/>
                <w:szCs w:val="18"/>
              </w:rPr>
              <w:t>多层</w:t>
            </w:r>
            <w:r>
              <w:rPr>
                <w:rFonts w:hint="eastAsia" w:ascii="宋体" w:hAnsi="宋体" w:cs="宋体"/>
                <w:color w:val="000000"/>
                <w:kern w:val="0"/>
                <w:sz w:val="18"/>
                <w:szCs w:val="18"/>
                <w:lang w:bidi="ar"/>
              </w:rPr>
              <w:t>板性能符合GB18580-2017及GB/T 34722- 2017检测标准规定：游离甲醛释放量均低于0.0</w:t>
            </w: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mg/m³</w:t>
            </w:r>
            <w:r>
              <w:rPr>
                <w:rFonts w:hint="eastAsia" w:ascii="宋体" w:hAnsi="宋体" w:cs="宋体"/>
                <w:color w:val="000000"/>
                <w:kern w:val="0"/>
                <w:sz w:val="18"/>
                <w:szCs w:val="18"/>
                <w:lang w:val="en-US" w:eastAsia="zh-CN" w:bidi="ar"/>
              </w:rPr>
              <w:t>或</w:t>
            </w:r>
            <w:r>
              <w:rPr>
                <w:rFonts w:hint="eastAsia" w:ascii="宋体" w:hAnsi="宋体" w:cs="宋体"/>
                <w:color w:val="000000"/>
                <w:kern w:val="0"/>
                <w:sz w:val="18"/>
                <w:szCs w:val="18"/>
                <w:lang w:bidi="ar"/>
              </w:rPr>
              <w:t>0.</w:t>
            </w: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mg/</w:t>
            </w:r>
            <w:r>
              <w:rPr>
                <w:rFonts w:hint="eastAsia" w:ascii="宋体" w:hAnsi="宋体" w:cs="宋体"/>
                <w:color w:val="000000"/>
                <w:kern w:val="0"/>
                <w:sz w:val="18"/>
                <w:szCs w:val="18"/>
                <w:lang w:val="en-US" w:eastAsia="zh-CN" w:bidi="ar"/>
              </w:rPr>
              <w:t>L</w:t>
            </w:r>
            <w:r>
              <w:rPr>
                <w:rFonts w:hint="eastAsia" w:ascii="宋体" w:hAnsi="宋体" w:cs="宋体"/>
                <w:color w:val="000000"/>
                <w:kern w:val="0"/>
                <w:sz w:val="18"/>
                <w:szCs w:val="18"/>
                <w:lang w:bidi="ar"/>
              </w:rPr>
              <w:t>,含水率控制为6%-13%，胶合强度指标值（1.40-1.60）</w:t>
            </w:r>
            <w:r>
              <w:rPr>
                <w:rFonts w:hint="eastAsia" w:ascii="宋体" w:hAnsi="宋体" w:cs="宋体"/>
                <w:color w:val="auto"/>
                <w:kern w:val="0"/>
                <w:sz w:val="18"/>
                <w:szCs w:val="18"/>
                <w:lang w:bidi="ar"/>
              </w:rPr>
              <w:t>%，表面胶合强度≥1MPa,表面耐磨磨耗值≤65mg/100r;台面板厚度25mm，</w:t>
            </w:r>
            <w:r>
              <w:rPr>
                <w:rFonts w:hint="eastAsia" w:ascii="宋体" w:hAnsi="宋体" w:cs="宋体"/>
                <w:color w:val="auto"/>
                <w:kern w:val="0"/>
                <w:sz w:val="18"/>
                <w:szCs w:val="18"/>
                <w:lang w:val="en-US" w:eastAsia="zh-CN" w:bidi="ar"/>
              </w:rPr>
              <w:t>背板</w:t>
            </w:r>
            <w:r>
              <w:rPr>
                <w:rFonts w:hint="eastAsia" w:ascii="宋体" w:hAnsi="宋体" w:cs="宋体"/>
                <w:color w:val="auto"/>
                <w:kern w:val="0"/>
                <w:sz w:val="18"/>
                <w:szCs w:val="18"/>
                <w:lang w:bidi="ar"/>
              </w:rPr>
              <w:t>厚度</w:t>
            </w:r>
            <w:r>
              <w:rPr>
                <w:rFonts w:hint="eastAsia" w:ascii="宋体" w:hAnsi="宋体" w:cs="宋体"/>
                <w:color w:val="auto"/>
                <w:sz w:val="18"/>
                <w:szCs w:val="18"/>
                <w:highlight w:val="none"/>
                <w:lang w:val="en-US" w:eastAsia="zh-CN"/>
              </w:rPr>
              <w:t>≥</w:t>
            </w:r>
            <w:r>
              <w:rPr>
                <w:rFonts w:hint="eastAsia" w:ascii="宋体" w:hAnsi="宋体" w:cs="宋体"/>
                <w:color w:val="auto"/>
                <w:kern w:val="0"/>
                <w:sz w:val="18"/>
                <w:szCs w:val="18"/>
                <w:highlight w:val="none"/>
                <w:lang w:val="en-US" w:eastAsia="zh-CN" w:bidi="ar"/>
              </w:rPr>
              <w:t>10</w:t>
            </w:r>
            <w:r>
              <w:rPr>
                <w:rFonts w:hint="eastAsia" w:ascii="宋体" w:hAnsi="宋体" w:cs="宋体"/>
                <w:color w:val="auto"/>
                <w:kern w:val="0"/>
                <w:sz w:val="18"/>
                <w:szCs w:val="18"/>
                <w:highlight w:val="none"/>
                <w:lang w:bidi="ar"/>
              </w:rPr>
              <w:t>mm，</w:t>
            </w:r>
            <w:r>
              <w:rPr>
                <w:rFonts w:hint="eastAsia" w:ascii="宋体" w:hAnsi="宋体" w:cs="宋体"/>
                <w:color w:val="auto"/>
                <w:kern w:val="0"/>
                <w:sz w:val="18"/>
                <w:szCs w:val="18"/>
                <w:lang w:bidi="ar"/>
              </w:rPr>
              <w:t>其余板材</w:t>
            </w:r>
            <w:r>
              <w:rPr>
                <w:rFonts w:hint="eastAsia" w:ascii="宋体" w:hAnsi="宋体" w:cs="宋体"/>
                <w:color w:val="auto"/>
                <w:kern w:val="0"/>
                <w:sz w:val="18"/>
                <w:szCs w:val="18"/>
                <w:lang w:eastAsia="zh-CN" w:bidi="ar"/>
              </w:rPr>
              <w:t>均</w:t>
            </w:r>
            <w:r>
              <w:rPr>
                <w:rFonts w:hint="eastAsia" w:ascii="宋体" w:hAnsi="宋体" w:cs="宋体"/>
                <w:color w:val="auto"/>
                <w:sz w:val="18"/>
                <w:szCs w:val="18"/>
                <w:highlight w:val="none"/>
                <w:lang w:val="en-US" w:eastAsia="zh-CN"/>
              </w:rPr>
              <w:t>≥</w:t>
            </w:r>
            <w:r>
              <w:rPr>
                <w:rFonts w:hint="eastAsia" w:ascii="宋体" w:hAnsi="宋体" w:cs="宋体"/>
                <w:color w:val="auto"/>
                <w:kern w:val="0"/>
                <w:sz w:val="18"/>
                <w:szCs w:val="18"/>
                <w:highlight w:val="none"/>
                <w:lang w:val="en-US" w:eastAsia="zh-CN" w:bidi="ar"/>
              </w:rPr>
              <w:t>16</w:t>
            </w:r>
            <w:r>
              <w:rPr>
                <w:rFonts w:hint="eastAsia" w:ascii="宋体" w:hAnsi="宋体" w:cs="宋体"/>
                <w:color w:val="auto"/>
                <w:kern w:val="0"/>
                <w:sz w:val="18"/>
                <w:szCs w:val="18"/>
                <w:highlight w:val="none"/>
                <w:lang w:bidi="ar"/>
              </w:rPr>
              <w:t>mm</w:t>
            </w:r>
            <w:r>
              <w:rPr>
                <w:rFonts w:hint="eastAsia" w:ascii="宋体" w:hAnsi="宋体" w:cs="宋体"/>
                <w:color w:val="auto"/>
                <w:kern w:val="0"/>
                <w:sz w:val="18"/>
                <w:szCs w:val="18"/>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bidi="ar"/>
              </w:rPr>
            </w:pPr>
            <w:r>
              <w:rPr>
                <w:rFonts w:hint="eastAsia" w:ascii="宋体" w:hAnsi="宋体" w:cs="宋体"/>
                <w:color w:val="auto"/>
                <w:kern w:val="0"/>
                <w:sz w:val="18"/>
                <w:szCs w:val="18"/>
                <w:highlight w:val="none"/>
                <w:lang w:val="en-US" w:eastAsia="zh-CN" w:bidi="ar"/>
              </w:rPr>
              <w:t>3.</w:t>
            </w:r>
            <w:r>
              <w:rPr>
                <w:rFonts w:hint="eastAsia" w:ascii="宋体" w:hAnsi="宋体" w:cs="宋体"/>
                <w:color w:val="auto"/>
                <w:kern w:val="0"/>
                <w:sz w:val="18"/>
                <w:szCs w:val="18"/>
                <w:highlight w:val="none"/>
                <w:lang w:bidi="ar"/>
              </w:rPr>
              <w:t>所有柜门以及抽屉面</w:t>
            </w:r>
            <w:r>
              <w:rPr>
                <w:rFonts w:hint="eastAsia" w:ascii="宋体" w:hAnsi="宋体" w:cs="宋体"/>
                <w:color w:val="000000"/>
                <w:kern w:val="0"/>
                <w:sz w:val="18"/>
                <w:szCs w:val="18"/>
                <w:lang w:bidi="ar"/>
              </w:rPr>
              <w:t>板</w:t>
            </w:r>
            <w:r>
              <w:rPr>
                <w:rFonts w:hint="eastAsia" w:ascii="宋体" w:hAnsi="宋体" w:cs="宋体"/>
                <w:color w:val="000000"/>
                <w:kern w:val="0"/>
                <w:sz w:val="18"/>
                <w:szCs w:val="18"/>
                <w:lang w:eastAsia="zh-CN" w:bidi="ar"/>
              </w:rPr>
              <w:t>采用</w:t>
            </w:r>
            <w:r>
              <w:rPr>
                <w:rFonts w:hint="eastAsia" w:ascii="宋体" w:hAnsi="宋体" w:cs="宋体"/>
                <w:color w:val="000000"/>
                <w:kern w:val="0"/>
                <w:sz w:val="18"/>
                <w:szCs w:val="18"/>
                <w:lang w:bidi="ar"/>
              </w:rPr>
              <w:t>一体成型注塑包边</w:t>
            </w:r>
            <w:r>
              <w:rPr>
                <w:rFonts w:hint="eastAsia" w:ascii="宋体" w:hAnsi="宋体" w:cs="宋体"/>
                <w:color w:val="000000"/>
                <w:kern w:val="0"/>
                <w:sz w:val="18"/>
                <w:szCs w:val="18"/>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优质“DTC”五金配件</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铰链应符合QB/T 2189-2013（2017）过载要求、功能试验及耐腐蚀要求；导轨应符合QB/T2454-2013过载要求、功能试验及耐腐蚀要求</w:t>
            </w:r>
            <w:r>
              <w:rPr>
                <w:rFonts w:hint="eastAsia" w:ascii="宋体" w:hAnsi="宋体" w:cs="宋体"/>
                <w:color w:val="000000"/>
                <w:kern w:val="0"/>
                <w:sz w:val="18"/>
                <w:szCs w:val="18"/>
                <w:lang w:eastAsia="zh-CN" w:bidi="ar"/>
              </w:rPr>
              <w:t>。柜体的抽屉及柜门部分需配置轨道和铰链，抽屉轨道采用带钢珠三节阻尼导轨，开门铰链采用阻尼铰链</w:t>
            </w:r>
            <w:r>
              <w:rPr>
                <w:rFonts w:hint="eastAsia" w:ascii="宋体" w:hAnsi="宋体" w:cs="宋体"/>
                <w:color w:val="000000"/>
                <w:kern w:val="0"/>
                <w:sz w:val="18"/>
                <w:szCs w:val="18"/>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脚架采用25*25*1.2mm方管焊接、鞋架采用直径16*1.2圆管焊接，所有钢制件均经酸洗、除油、去锈、磷化处理后静电喷塑，颜色与床架同，优质PP软塑料脚套；抽屉及衣柜门带单片式挂锁锁片，衣柜内安装不锈钢挂衣杆一根，直径19 mm，衣柜门内安装衣帽挂钩一个。</w:t>
            </w:r>
          </w:p>
          <w:p>
            <w:pPr>
              <w:pStyle w:val="16"/>
              <w:numPr>
                <w:ilvl w:val="0"/>
                <w:numId w:val="0"/>
              </w:numPr>
              <w:spacing w:line="240" w:lineRule="auto"/>
              <w:ind w:leftChars="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6.胶粘剂：采用水性胶粘剂，应符合HJ2541-2016的要求。</w:t>
            </w:r>
          </w:p>
          <w:p>
            <w:pPr>
              <w:pStyle w:val="16"/>
              <w:numPr>
                <w:ilvl w:val="0"/>
                <w:numId w:val="0"/>
              </w:numPr>
              <w:spacing w:line="240" w:lineRule="auto"/>
              <w:ind w:leftChars="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7.为了防止柜体底部与地面接触受潮，在柜体底部加装有独立塑料防潮脚垫。</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eastAsia="宋体" w:cs="宋体"/>
                <w:color w:val="000000"/>
                <w:kern w:val="0"/>
                <w:sz w:val="18"/>
                <w:szCs w:val="18"/>
                <w:lang w:val="en-US" w:eastAsia="zh-CN" w:bidi="ar"/>
              </w:rPr>
              <w:t>产品技术要求：书桌组合衣柜符合GB/T 3324-2017 《木家具通用技术条件》GB 18584-2001 《室内装饰装修材料 木家具中有害物质限量》的标准要求：翘曲度≤0.4mm、平整度≤0.2mm、位差度≤1.0mm、分缝≤1.0mm、脚底平稳性≤0.5mm，抽屉下垂度≤10mm及摇摆度≤10mm）；人造板外观</w:t>
            </w:r>
            <w:r>
              <w:rPr>
                <w:rStyle w:val="28"/>
                <w:rFonts w:hint="eastAsia"/>
                <w:sz w:val="18"/>
                <w:szCs w:val="18"/>
                <w:lang w:bidi="ar"/>
              </w:rPr>
              <w:t>测试均符合标准</w:t>
            </w:r>
            <w:r>
              <w:rPr>
                <w:rFonts w:hint="eastAsia" w:ascii="宋体" w:hAnsi="宋体" w:eastAsia="宋体" w:cs="宋体"/>
                <w:color w:val="000000"/>
                <w:kern w:val="0"/>
                <w:sz w:val="18"/>
                <w:szCs w:val="18"/>
                <w:lang w:val="en-US" w:eastAsia="zh-CN" w:bidi="ar"/>
              </w:rPr>
              <w:t>；五金件外观（喷涂件、金属合金件）</w:t>
            </w:r>
            <w:r>
              <w:rPr>
                <w:rStyle w:val="28"/>
                <w:rFonts w:hint="eastAsia"/>
                <w:sz w:val="18"/>
                <w:szCs w:val="18"/>
                <w:lang w:bidi="ar"/>
              </w:rPr>
              <w:t>测试均符合标准</w:t>
            </w:r>
            <w:r>
              <w:rPr>
                <w:rStyle w:val="28"/>
                <w:rFonts w:hint="eastAsia"/>
                <w:sz w:val="18"/>
                <w:szCs w:val="18"/>
                <w:lang w:eastAsia="zh-CN" w:bidi="ar"/>
              </w:rPr>
              <w:t>；</w:t>
            </w:r>
            <w:r>
              <w:rPr>
                <w:rStyle w:val="28"/>
                <w:rFonts w:hint="eastAsia"/>
                <w:sz w:val="18"/>
                <w:szCs w:val="18"/>
                <w:lang w:val="en-US" w:eastAsia="zh-CN" w:bidi="ar"/>
              </w:rPr>
              <w:t>木工要求</w:t>
            </w:r>
            <w:r>
              <w:rPr>
                <w:rStyle w:val="28"/>
                <w:rFonts w:hint="eastAsia"/>
                <w:sz w:val="18"/>
                <w:szCs w:val="18"/>
                <w:lang w:bidi="ar"/>
              </w:rPr>
              <w:t>测试符合标准</w:t>
            </w:r>
            <w:r>
              <w:rPr>
                <w:rStyle w:val="28"/>
                <w:rFonts w:hint="eastAsia"/>
                <w:sz w:val="18"/>
                <w:szCs w:val="18"/>
                <w:lang w:eastAsia="zh-CN" w:bidi="ar"/>
              </w:rPr>
              <w:t>；</w:t>
            </w:r>
            <w:r>
              <w:rPr>
                <w:rFonts w:hint="eastAsia" w:ascii="宋体" w:hAnsi="宋体" w:eastAsia="宋体" w:cs="宋体"/>
                <w:color w:val="000000"/>
                <w:kern w:val="0"/>
                <w:sz w:val="18"/>
                <w:szCs w:val="18"/>
                <w:lang w:val="en-US" w:eastAsia="zh-CN" w:bidi="ar"/>
              </w:rPr>
              <w:t>耐干热、耐湿热及耐污染性能均达到5级；桌类柜类稳定性测试无倾翻现象，桌类柜类强度及耐久性与结构安全性符合检测要求，结构安全性符合求，甲醛释放量（小于等于0.9mg/l)等）。产品技术要求：书桌组合衣柜符合GB/T 3324-2017 《木家具通用技术条件》GB 18584-2001 《室内装饰装修材料 木家具中有害物质限量》的标准要求：翘曲度≤0.4mm、平整度≤0.2mm、位差度≤1.0mm、分缝≤1.0mm、脚底平稳性≤0.5mm，抽屉下垂度≤10mm及摇摆度≤10mm）；人造板外观</w:t>
            </w:r>
            <w:r>
              <w:rPr>
                <w:rStyle w:val="28"/>
                <w:rFonts w:hint="eastAsia"/>
                <w:sz w:val="18"/>
                <w:szCs w:val="18"/>
                <w:lang w:bidi="ar"/>
              </w:rPr>
              <w:t>测试均符合标准</w:t>
            </w:r>
            <w:r>
              <w:rPr>
                <w:rFonts w:hint="eastAsia" w:ascii="宋体" w:hAnsi="宋体" w:eastAsia="宋体" w:cs="宋体"/>
                <w:color w:val="000000"/>
                <w:kern w:val="0"/>
                <w:sz w:val="18"/>
                <w:szCs w:val="18"/>
                <w:lang w:val="en-US" w:eastAsia="zh-CN" w:bidi="ar"/>
              </w:rPr>
              <w:t>；五金件外观（喷涂件、金属合金件）</w:t>
            </w:r>
            <w:r>
              <w:rPr>
                <w:rStyle w:val="28"/>
                <w:rFonts w:hint="eastAsia"/>
                <w:sz w:val="18"/>
                <w:szCs w:val="18"/>
                <w:lang w:bidi="ar"/>
              </w:rPr>
              <w:t>测试均符合标准</w:t>
            </w:r>
            <w:r>
              <w:rPr>
                <w:rStyle w:val="28"/>
                <w:rFonts w:hint="eastAsia"/>
                <w:sz w:val="18"/>
                <w:szCs w:val="18"/>
                <w:lang w:eastAsia="zh-CN" w:bidi="ar"/>
              </w:rPr>
              <w:t>；</w:t>
            </w:r>
            <w:r>
              <w:rPr>
                <w:rStyle w:val="28"/>
                <w:rFonts w:hint="eastAsia"/>
                <w:sz w:val="18"/>
                <w:szCs w:val="18"/>
                <w:lang w:val="en-US" w:eastAsia="zh-CN" w:bidi="ar"/>
              </w:rPr>
              <w:t>木工要求</w:t>
            </w:r>
            <w:r>
              <w:rPr>
                <w:rStyle w:val="28"/>
                <w:rFonts w:hint="eastAsia"/>
                <w:sz w:val="18"/>
                <w:szCs w:val="18"/>
                <w:lang w:bidi="ar"/>
              </w:rPr>
              <w:t>测试符合标准</w:t>
            </w:r>
            <w:r>
              <w:rPr>
                <w:rStyle w:val="28"/>
                <w:rFonts w:hint="eastAsia"/>
                <w:sz w:val="18"/>
                <w:szCs w:val="18"/>
                <w:lang w:eastAsia="zh-CN" w:bidi="ar"/>
              </w:rPr>
              <w:t>；</w:t>
            </w:r>
            <w:r>
              <w:rPr>
                <w:rFonts w:hint="eastAsia" w:ascii="宋体" w:hAnsi="宋体" w:eastAsia="宋体" w:cs="宋体"/>
                <w:color w:val="000000"/>
                <w:kern w:val="0"/>
                <w:sz w:val="18"/>
                <w:szCs w:val="18"/>
                <w:lang w:val="en-US" w:eastAsia="zh-CN" w:bidi="ar"/>
              </w:rPr>
              <w:t>耐干热、耐湿热及耐污染性能均达到5级；桌类柜类稳定性测试无倾翻现象，桌类柜类强度及耐久性与结构安全性符合检测要求，结构安全性符合求，甲醛释放量（小于等于0.9mg/l)等）。</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val="en-US" w:eastAsia="zh-CN" w:bidi="ar"/>
              </w:rPr>
              <w:t>产品结构图。</w:t>
            </w: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r>
              <w:drawing>
                <wp:inline distT="0" distB="0" distL="114300" distR="114300">
                  <wp:extent cx="3458210" cy="4072890"/>
                  <wp:effectExtent l="0" t="0" r="889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458210" cy="4072890"/>
                          </a:xfrm>
                          <a:prstGeom prst="rect">
                            <a:avLst/>
                          </a:prstGeom>
                          <a:noFill/>
                          <a:ln>
                            <a:noFill/>
                          </a:ln>
                        </pic:spPr>
                      </pic:pic>
                    </a:graphicData>
                  </a:graphic>
                </wp:inline>
              </w:drawing>
            </w: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r>
              <w:drawing>
                <wp:inline distT="0" distB="0" distL="114300" distR="114300">
                  <wp:extent cx="3458845" cy="2934335"/>
                  <wp:effectExtent l="0" t="0" r="8255"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3458845" cy="2934335"/>
                          </a:xfrm>
                          <a:prstGeom prst="rect">
                            <a:avLst/>
                          </a:prstGeom>
                          <a:noFill/>
                          <a:ln>
                            <a:noFill/>
                          </a:ln>
                        </pic:spPr>
                      </pic:pic>
                    </a:graphicData>
                  </a:graphic>
                </wp:inline>
              </w:drawing>
            </w: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3</w:t>
            </w:r>
          </w:p>
        </w:tc>
        <w:tc>
          <w:tcPr>
            <w:tcW w:w="1154" w:type="dxa"/>
            <w:shd w:val="clear" w:color="auto" w:fill="FFFFFF"/>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三人储物</w:t>
            </w:r>
            <w:r>
              <w:rPr>
                <w:rFonts w:hint="eastAsia" w:ascii="宋体" w:hAnsi="宋体" w:cs="宋体"/>
                <w:color w:val="000000"/>
                <w:kern w:val="0"/>
                <w:sz w:val="18"/>
                <w:szCs w:val="18"/>
                <w:lang w:bidi="ar"/>
              </w:rPr>
              <w:t xml:space="preserve">柜 </w:t>
            </w:r>
          </w:p>
        </w:tc>
        <w:tc>
          <w:tcPr>
            <w:tcW w:w="5666" w:type="dxa"/>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eastAsia="宋体"/>
                <w:sz w:val="18"/>
                <w:szCs w:val="18"/>
                <w:lang w:val="en-US" w:eastAsia="zh-CN"/>
              </w:rPr>
            </w:pPr>
            <w:r>
              <w:rPr>
                <w:rFonts w:hint="eastAsia"/>
                <w:sz w:val="18"/>
                <w:szCs w:val="18"/>
                <w:lang w:val="en-US" w:eastAsia="zh-CN"/>
              </w:rPr>
              <w:t>1、规格：</w:t>
            </w:r>
            <w:r>
              <w:rPr>
                <w:rFonts w:hint="eastAsia" w:ascii="宋体" w:hAnsi="宋体" w:cs="宋体"/>
                <w:color w:val="auto"/>
                <w:kern w:val="0"/>
                <w:sz w:val="18"/>
                <w:szCs w:val="18"/>
                <w:lang w:val="en-US" w:eastAsia="zh-CN" w:bidi="ar"/>
              </w:rPr>
              <w:t>500</w:t>
            </w:r>
            <w:r>
              <w:rPr>
                <w:rFonts w:hint="eastAsia" w:ascii="宋体" w:hAnsi="宋体" w:cs="宋体"/>
                <w:color w:val="auto"/>
                <w:kern w:val="0"/>
                <w:sz w:val="18"/>
                <w:szCs w:val="18"/>
                <w:lang w:bidi="ar"/>
              </w:rPr>
              <w:t>×</w:t>
            </w:r>
            <w:r>
              <w:rPr>
                <w:rFonts w:hint="eastAsia" w:ascii="宋体" w:hAnsi="宋体" w:cs="宋体"/>
                <w:color w:val="auto"/>
                <w:kern w:val="0"/>
                <w:sz w:val="18"/>
                <w:szCs w:val="18"/>
                <w:lang w:val="en-US" w:eastAsia="zh-CN" w:bidi="ar"/>
              </w:rPr>
              <w:t>9</w:t>
            </w:r>
            <w:r>
              <w:rPr>
                <w:rFonts w:hint="eastAsia" w:ascii="宋体" w:hAnsi="宋体" w:cs="宋体"/>
                <w:color w:val="auto"/>
                <w:kern w:val="0"/>
                <w:sz w:val="18"/>
                <w:szCs w:val="18"/>
                <w:lang w:bidi="ar"/>
              </w:rPr>
              <w:t>00×</w:t>
            </w:r>
            <w:r>
              <w:rPr>
                <w:rFonts w:hint="eastAsia" w:ascii="宋体" w:hAnsi="宋体" w:cs="宋体"/>
                <w:color w:val="auto"/>
                <w:kern w:val="0"/>
                <w:sz w:val="18"/>
                <w:szCs w:val="18"/>
                <w:lang w:val="en-US" w:eastAsia="zh-CN" w:bidi="ar"/>
              </w:rPr>
              <w:t>2200</w:t>
            </w:r>
            <w:r>
              <w:rPr>
                <w:rFonts w:hint="eastAsia" w:ascii="宋体" w:hAnsi="宋体" w:cs="宋体"/>
                <w:color w:val="auto"/>
                <w:kern w:val="0"/>
                <w:sz w:val="18"/>
                <w:szCs w:val="18"/>
                <w:lang w:bidi="ar"/>
              </w:rPr>
              <w:t>mm</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sz w:val="18"/>
                <w:szCs w:val="18"/>
              </w:rPr>
            </w:pPr>
            <w:r>
              <w:rPr>
                <w:rFonts w:hint="eastAsia"/>
                <w:sz w:val="18"/>
                <w:szCs w:val="18"/>
                <w:lang w:val="en-US" w:eastAsia="zh-CN"/>
              </w:rPr>
              <w:t>2、</w:t>
            </w:r>
            <w:r>
              <w:rPr>
                <w:rFonts w:hint="eastAsia"/>
                <w:sz w:val="18"/>
                <w:szCs w:val="18"/>
              </w:rPr>
              <w:t>用材及工艺要求</w:t>
            </w:r>
            <w:r>
              <w:rPr>
                <w:rFonts w:hint="eastAsia"/>
                <w:sz w:val="18"/>
                <w:szCs w:val="18"/>
                <w:highlight w:val="none"/>
              </w:rPr>
              <w:t>：</w:t>
            </w:r>
            <w:r>
              <w:rPr>
                <w:rFonts w:hint="eastAsia"/>
                <w:color w:val="FF0000"/>
                <w:sz w:val="18"/>
                <w:szCs w:val="18"/>
                <w:highlight w:val="none"/>
                <w:u w:val="single"/>
                <w:lang w:eastAsia="zh-CN"/>
              </w:rPr>
              <w:t>采用实木多层板</w:t>
            </w:r>
            <w:r>
              <w:rPr>
                <w:rFonts w:hint="eastAsia"/>
                <w:color w:val="FF0000"/>
                <w:sz w:val="18"/>
                <w:szCs w:val="18"/>
                <w:highlight w:val="none"/>
                <w:lang w:eastAsia="zh-CN"/>
              </w:rPr>
              <w:t>，</w:t>
            </w:r>
            <w:r>
              <w:rPr>
                <w:rFonts w:hint="eastAsia"/>
                <w:sz w:val="18"/>
                <w:szCs w:val="18"/>
              </w:rPr>
              <w:t>多层板性能符合GB18580-2017及GB/T 34722- -2017检测标准规定：游离甲醛释放量均低于0.0</w:t>
            </w:r>
            <w:r>
              <w:rPr>
                <w:rFonts w:hint="eastAsia"/>
                <w:sz w:val="18"/>
                <w:szCs w:val="18"/>
                <w:lang w:val="en-US" w:eastAsia="zh-CN"/>
              </w:rPr>
              <w:t>9</w:t>
            </w:r>
            <w:r>
              <w:rPr>
                <w:rFonts w:hint="eastAsia"/>
                <w:sz w:val="18"/>
                <w:szCs w:val="18"/>
              </w:rPr>
              <w:t>mg/m³</w:t>
            </w:r>
            <w:r>
              <w:rPr>
                <w:rFonts w:hint="eastAsia"/>
                <w:sz w:val="18"/>
                <w:szCs w:val="18"/>
                <w:lang w:val="en-US" w:eastAsia="zh-CN"/>
              </w:rPr>
              <w:t>或</w:t>
            </w:r>
            <w:r>
              <w:rPr>
                <w:rFonts w:hint="eastAsia"/>
                <w:sz w:val="18"/>
                <w:szCs w:val="18"/>
              </w:rPr>
              <w:t>0.</w:t>
            </w:r>
            <w:r>
              <w:rPr>
                <w:rFonts w:hint="eastAsia"/>
                <w:sz w:val="18"/>
                <w:szCs w:val="18"/>
                <w:lang w:val="en-US" w:eastAsia="zh-CN"/>
              </w:rPr>
              <w:t>9</w:t>
            </w:r>
            <w:r>
              <w:rPr>
                <w:rFonts w:hint="eastAsia"/>
                <w:sz w:val="18"/>
                <w:szCs w:val="18"/>
              </w:rPr>
              <w:t>mg/</w:t>
            </w:r>
            <w:r>
              <w:rPr>
                <w:rFonts w:hint="eastAsia"/>
                <w:sz w:val="18"/>
                <w:szCs w:val="18"/>
                <w:lang w:val="en-US" w:eastAsia="zh-CN"/>
              </w:rPr>
              <w:t>L</w:t>
            </w:r>
            <w:r>
              <w:rPr>
                <w:rFonts w:hint="eastAsia"/>
                <w:sz w:val="18"/>
                <w:szCs w:val="18"/>
              </w:rPr>
              <w:t>,含水率控制为6%-13%，胶合强度指标值（1.40-1.60）%，表面胶合强度≥1MPa,表面耐磨磨耗值≤65mg/100r;</w:t>
            </w:r>
            <w:r>
              <w:rPr>
                <w:rFonts w:hint="eastAsia"/>
                <w:sz w:val="18"/>
                <w:szCs w:val="18"/>
                <w:lang w:eastAsia="zh-CN"/>
              </w:rPr>
              <w:t>柜门、</w:t>
            </w:r>
            <w:r>
              <w:rPr>
                <w:rFonts w:hint="eastAsia"/>
                <w:sz w:val="18"/>
                <w:szCs w:val="18"/>
                <w:highlight w:val="none"/>
                <w:lang w:val="en-US" w:eastAsia="zh-CN"/>
              </w:rPr>
              <w:t>背板</w:t>
            </w:r>
            <w:r>
              <w:rPr>
                <w:rFonts w:hint="eastAsia"/>
                <w:sz w:val="18"/>
                <w:szCs w:val="18"/>
                <w:highlight w:val="none"/>
              </w:rPr>
              <w:t>厚度</w:t>
            </w:r>
            <w:r>
              <w:rPr>
                <w:rFonts w:hint="eastAsia"/>
                <w:sz w:val="18"/>
                <w:szCs w:val="18"/>
                <w:highlight w:val="none"/>
                <w:lang w:eastAsia="zh-CN"/>
              </w:rPr>
              <w:t>≥</w:t>
            </w:r>
            <w:r>
              <w:rPr>
                <w:rFonts w:hint="eastAsia"/>
                <w:sz w:val="18"/>
                <w:szCs w:val="18"/>
                <w:highlight w:val="none"/>
                <w:lang w:val="en-US" w:eastAsia="zh-CN"/>
              </w:rPr>
              <w:t>10</w:t>
            </w:r>
            <w:r>
              <w:rPr>
                <w:rFonts w:hint="eastAsia"/>
                <w:sz w:val="18"/>
                <w:szCs w:val="18"/>
                <w:highlight w:val="none"/>
              </w:rPr>
              <w:t>mm，其余板材均</w:t>
            </w:r>
            <w:r>
              <w:rPr>
                <w:rFonts w:hint="eastAsia"/>
                <w:sz w:val="18"/>
                <w:szCs w:val="18"/>
                <w:highlight w:val="none"/>
                <w:lang w:eastAsia="zh-CN"/>
              </w:rPr>
              <w:t>≥</w:t>
            </w:r>
            <w:r>
              <w:rPr>
                <w:rFonts w:hint="eastAsia"/>
                <w:sz w:val="18"/>
                <w:szCs w:val="18"/>
                <w:highlight w:val="none"/>
                <w:lang w:val="en-US" w:eastAsia="zh-CN"/>
              </w:rPr>
              <w:t>16</w:t>
            </w:r>
            <w:r>
              <w:rPr>
                <w:rFonts w:hint="eastAsia"/>
                <w:sz w:val="18"/>
                <w:szCs w:val="18"/>
                <w:highlight w:val="none"/>
              </w:rPr>
              <w:t>mm；所有柜门</w:t>
            </w:r>
            <w:r>
              <w:rPr>
                <w:rFonts w:hint="eastAsia"/>
                <w:sz w:val="18"/>
                <w:szCs w:val="18"/>
                <w:highlight w:val="none"/>
                <w:lang w:eastAsia="zh-CN"/>
              </w:rPr>
              <w:t>采用</w:t>
            </w:r>
            <w:r>
              <w:rPr>
                <w:rFonts w:hint="eastAsia"/>
                <w:sz w:val="18"/>
                <w:szCs w:val="18"/>
                <w:highlight w:val="none"/>
              </w:rPr>
              <w:t>一体成型注塑包边</w:t>
            </w:r>
            <w:r>
              <w:rPr>
                <w:rFonts w:hint="eastAsia"/>
                <w:sz w:val="18"/>
                <w:szCs w:val="18"/>
              </w:rPr>
              <w:t>；优质“DTC”五金配件，脚架采用25*25*1.2mm方管焊接、所有钢制件均经酸洗、除油、去锈、磷化处理后静电喷塑，颜色与床架同，优质PP软塑料脚套；柜门带单片式挂锁锁片。</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sz w:val="18"/>
                <w:szCs w:val="18"/>
                <w:lang w:val="en-US" w:eastAsia="zh-CN"/>
              </w:rPr>
            </w:pPr>
            <w:r>
              <w:rPr>
                <w:rFonts w:hint="eastAsia"/>
                <w:sz w:val="18"/>
                <w:szCs w:val="18"/>
                <w:lang w:val="en-US" w:eastAsia="zh-CN"/>
              </w:rPr>
              <w:t>3、产品技术要求：储物柜符合GB/T 3324-2017 《木家具通用技术条件》GB 18584-2001 《室内装饰装修材料 木家具中有害物质限量》的标准要求：翘曲度≤3mm、平整度≤0.2mm、位差度≤1.0mm、分缝≤1.0mm、脚底平稳性≤0.5mm，抽屉下垂度≤10mm及摇摆度≤10mm）；耐干热、耐湿热及耐污染性能均达到5级；柜类稳定性测试无倾翻现象，强度及耐久性与结构安全性符合检测要求，甲醛释放量（小于等于0.9mg/l)等）。</w:t>
            </w:r>
          </w:p>
          <w:p>
            <w:pPr>
              <w:pStyle w:val="20"/>
              <w:rPr>
                <w:rFonts w:hint="eastAsia"/>
                <w:sz w:val="18"/>
                <w:szCs w:val="18"/>
                <w:lang w:val="en-US" w:eastAsia="zh-CN"/>
              </w:rPr>
            </w:pPr>
            <w:r>
              <w:rPr>
                <w:rFonts w:hint="eastAsia"/>
                <w:sz w:val="18"/>
                <w:szCs w:val="18"/>
                <w:lang w:val="en-US" w:eastAsia="zh-CN"/>
              </w:rPr>
              <w:t>4、产品结构图。</w:t>
            </w:r>
          </w:p>
          <w:p>
            <w:pPr>
              <w:pStyle w:val="7"/>
              <w:rPr>
                <w:rFonts w:hint="default"/>
                <w:lang w:val="en-US"/>
              </w:rPr>
            </w:pPr>
            <w:r>
              <w:drawing>
                <wp:inline distT="0" distB="0" distL="114300" distR="114300">
                  <wp:extent cx="866775" cy="1997710"/>
                  <wp:effectExtent l="0" t="0" r="952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lum bright="12000"/>
                          </a:blip>
                          <a:stretch>
                            <a:fillRect/>
                          </a:stretch>
                        </pic:blipFill>
                        <pic:spPr>
                          <a:xfrm>
                            <a:off x="0" y="0"/>
                            <a:ext cx="866775" cy="1997710"/>
                          </a:xfrm>
                          <a:prstGeom prst="rect">
                            <a:avLst/>
                          </a:prstGeom>
                          <a:noFill/>
                          <a:ln>
                            <a:noFill/>
                          </a:ln>
                        </pic:spPr>
                      </pic:pic>
                    </a:graphicData>
                  </a:graphic>
                </wp:inline>
              </w:drawing>
            </w:r>
          </w:p>
          <w:p>
            <w:pPr>
              <w:pStyle w:val="19"/>
              <w:numPr>
                <w:ilvl w:val="0"/>
                <w:numId w:val="0"/>
              </w:numPr>
              <w:snapToGrid w:val="0"/>
              <w:spacing w:after="156" w:afterLines="50"/>
              <w:rPr>
                <w:rFonts w:hint="eastAsia" w:ascii="宋体" w:hAnsi="宋体" w:eastAsia="宋体" w:cs="宋体"/>
                <w:color w:val="000000"/>
                <w:kern w:val="0"/>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4</w:t>
            </w:r>
          </w:p>
        </w:tc>
        <w:tc>
          <w:tcPr>
            <w:tcW w:w="1154" w:type="dxa"/>
            <w:shd w:val="clear" w:color="auto" w:fill="FFFFFF"/>
            <w:vAlign w:val="center"/>
          </w:tcPr>
          <w:p>
            <w:pPr>
              <w:jc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椅子</w:t>
            </w:r>
          </w:p>
        </w:tc>
        <w:tc>
          <w:tcPr>
            <w:tcW w:w="5666" w:type="dxa"/>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1、椅座、靠椅采用环保PP塑料，根据人体脊椎学原理一次注塑而成；</w:t>
            </w:r>
            <w:r>
              <w:rPr>
                <w:rFonts w:hint="eastAsia" w:ascii="宋体" w:hAnsi="宋体" w:eastAsia="宋体" w:cs="宋体"/>
                <w:b/>
                <w:bCs/>
                <w:i w:val="0"/>
                <w:iCs w:val="0"/>
                <w:caps w:val="0"/>
                <w:color w:val="FF0000"/>
                <w:spacing w:val="0"/>
                <w:sz w:val="18"/>
                <w:szCs w:val="18"/>
                <w:shd w:val="clear" w:fill="FFFFFF"/>
              </w:rPr>
              <w:t>座板尺寸宽*深≥400*410mm</w:t>
            </w:r>
            <w:r>
              <w:rPr>
                <w:rFonts w:hint="eastAsia" w:ascii="宋体" w:hAnsi="宋体" w:eastAsia="宋体" w:cs="宋体"/>
                <w:b/>
                <w:bCs/>
                <w:color w:val="FF0000"/>
                <w:kern w:val="0"/>
                <w:sz w:val="18"/>
                <w:szCs w:val="18"/>
                <w:lang w:val="en-US" w:eastAsia="zh-CN" w:bidi="ar"/>
              </w:rPr>
              <w:t>，</w:t>
            </w:r>
            <w:r>
              <w:rPr>
                <w:rFonts w:hint="eastAsia" w:ascii="宋体" w:hAnsi="宋体" w:eastAsia="宋体" w:cs="宋体"/>
                <w:color w:val="000000"/>
                <w:kern w:val="0"/>
                <w:sz w:val="18"/>
                <w:szCs w:val="18"/>
                <w:lang w:val="en-US" w:eastAsia="zh-CN" w:bidi="ar"/>
              </w:rPr>
              <w:t>美观且具有透气散热作用。</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2、靠背</w:t>
            </w:r>
            <w:r>
              <w:rPr>
                <w:rFonts w:hint="eastAsia" w:ascii="宋体" w:hAnsi="宋体" w:cs="宋体"/>
                <w:color w:val="000000"/>
                <w:kern w:val="0"/>
                <w:sz w:val="18"/>
                <w:szCs w:val="18"/>
                <w:lang w:val="en-US" w:eastAsia="zh-CN" w:bidi="ar"/>
              </w:rPr>
              <w:t>符合人体功能学原理，能完整包裹学生背部，</w:t>
            </w:r>
            <w:r>
              <w:rPr>
                <w:rFonts w:hint="eastAsia" w:ascii="宋体" w:hAnsi="宋体" w:eastAsia="宋体" w:cs="宋体"/>
                <w:color w:val="000000"/>
                <w:kern w:val="0"/>
                <w:sz w:val="18"/>
                <w:szCs w:val="18"/>
                <w:lang w:val="en-US" w:eastAsia="zh-CN" w:bidi="ar"/>
              </w:rPr>
              <w:t>使其免于侧弯,耐抗压，</w:t>
            </w:r>
            <w:r>
              <w:rPr>
                <w:rFonts w:hint="eastAsia" w:ascii="宋体" w:hAnsi="宋体" w:cs="宋体"/>
                <w:color w:val="000000"/>
                <w:kern w:val="0"/>
                <w:sz w:val="18"/>
                <w:szCs w:val="18"/>
                <w:lang w:val="en-US" w:eastAsia="zh-CN" w:bidi="ar"/>
              </w:rPr>
              <w:t>方便</w:t>
            </w:r>
            <w:bookmarkStart w:id="6" w:name="_GoBack"/>
            <w:bookmarkEnd w:id="6"/>
            <w:r>
              <w:rPr>
                <w:rFonts w:hint="eastAsia" w:ascii="宋体" w:hAnsi="宋体" w:cs="宋体"/>
                <w:color w:val="000000"/>
                <w:kern w:val="0"/>
                <w:sz w:val="18"/>
                <w:szCs w:val="18"/>
                <w:lang w:val="en-US" w:eastAsia="zh-CN" w:bidi="ar"/>
              </w:rPr>
              <w:t>移动</w:t>
            </w:r>
            <w:r>
              <w:rPr>
                <w:rFonts w:hint="eastAsia" w:ascii="宋体" w:hAnsi="宋体" w:eastAsia="宋体" w:cs="宋体"/>
                <w:color w:val="000000"/>
                <w:kern w:val="0"/>
                <w:sz w:val="18"/>
                <w:szCs w:val="18"/>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3、椅管：</w:t>
            </w:r>
            <w:r>
              <w:rPr>
                <w:rFonts w:hint="eastAsia" w:ascii="宋体" w:hAnsi="宋体" w:eastAsia="宋体" w:cs="宋体"/>
                <w:b/>
                <w:bCs/>
                <w:i w:val="0"/>
                <w:iCs w:val="0"/>
                <w:caps w:val="0"/>
                <w:color w:val="FF0000"/>
                <w:spacing w:val="0"/>
                <w:sz w:val="18"/>
                <w:szCs w:val="18"/>
                <w:shd w:val="clear" w:fill="FFFFFF"/>
              </w:rPr>
              <w:t>采用≥25mm圆管或者≥35mm扁管折弯成型</w:t>
            </w:r>
            <w:r>
              <w:rPr>
                <w:rFonts w:hint="eastAsia" w:ascii="宋体" w:hAnsi="宋体" w:eastAsia="宋体" w:cs="宋体"/>
                <w:color w:val="000000"/>
                <w:kern w:val="0"/>
                <w:sz w:val="18"/>
                <w:szCs w:val="18"/>
                <w:lang w:val="en-US" w:eastAsia="zh-CN" w:bidi="ar"/>
              </w:rPr>
              <w:t>。</w:t>
            </w:r>
            <w:r>
              <w:rPr>
                <w:rFonts w:hint="eastAsia" w:ascii="宋体" w:hAnsi="宋体" w:cs="宋体"/>
                <w:color w:val="000000"/>
                <w:kern w:val="0"/>
                <w:sz w:val="18"/>
                <w:szCs w:val="18"/>
                <w:lang w:val="en-US" w:eastAsia="zh-CN" w:bidi="ar"/>
              </w:rPr>
              <w:t>椅</w:t>
            </w:r>
            <w:r>
              <w:rPr>
                <w:rFonts w:hint="eastAsia" w:ascii="宋体" w:hAnsi="宋体" w:cs="宋体"/>
                <w:color w:val="000000"/>
                <w:kern w:val="0"/>
                <w:sz w:val="18"/>
                <w:szCs w:val="18"/>
                <w:lang w:val="en-US" w:eastAsia="zh-CN" w:bidi="ar"/>
              </w:rPr>
              <w:t>管底部耐磨，静音效果好，</w:t>
            </w:r>
            <w:r>
              <w:rPr>
                <w:rFonts w:hint="eastAsia" w:ascii="宋体" w:hAnsi="宋体" w:eastAsia="宋体" w:cs="宋体"/>
                <w:color w:val="000000"/>
                <w:kern w:val="0"/>
                <w:sz w:val="18"/>
                <w:szCs w:val="18"/>
                <w:lang w:val="en-US" w:eastAsia="zh-CN" w:bidi="ar"/>
              </w:rPr>
              <w:t>美观时尚。</w:t>
            </w:r>
          </w:p>
          <w:p>
            <w:pPr>
              <w:pStyle w:val="19"/>
              <w:numPr>
                <w:ilvl w:val="0"/>
                <w:numId w:val="0"/>
              </w:numPr>
              <w:snapToGrid w:val="0"/>
              <w:spacing w:after="156" w:afterLines="50"/>
              <w:rPr>
                <w:rFonts w:hint="eastAsia" w:ascii="宋体" w:hAnsi="宋体" w:eastAsia="宋体" w:cs="宋体"/>
                <w:color w:val="000000"/>
                <w:kern w:val="0"/>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bl>
    <w:p>
      <w:pPr>
        <w:spacing w:line="360" w:lineRule="auto"/>
        <w:rPr>
          <w:rFonts w:hint="eastAsia"/>
          <w:b/>
          <w:bCs/>
          <w:highlight w:val="yellow"/>
          <w:lang w:val="en-US" w:eastAsia="zh-CN"/>
        </w:rPr>
      </w:pPr>
      <w:r>
        <w:rPr>
          <w:rFonts w:hint="eastAsia"/>
          <w:b/>
          <w:bCs/>
          <w:lang w:val="en-US" w:eastAsia="zh-CN"/>
        </w:rPr>
        <w:t>备注：</w:t>
      </w:r>
      <w:r>
        <w:rPr>
          <w:rFonts w:hint="eastAsia" w:ascii="宋体" w:hAnsi="宋体" w:cs="Calibri"/>
          <w:b/>
          <w:bCs/>
          <w:color w:val="auto"/>
          <w:szCs w:val="21"/>
          <w:highlight w:val="none"/>
          <w:lang w:val="en-US" w:eastAsia="zh-CN"/>
        </w:rPr>
        <w:t>1.上述产品技术要求须提供2021年以来第三方机构出具的抽检报告，如实描述是否偏离；</w:t>
      </w:r>
    </w:p>
    <w:p>
      <w:pPr>
        <w:numPr>
          <w:ilvl w:val="-1"/>
          <w:numId w:val="0"/>
        </w:numPr>
        <w:spacing w:line="360" w:lineRule="auto"/>
        <w:ind w:firstLine="632" w:firstLineChars="300"/>
        <w:rPr>
          <w:rFonts w:hint="eastAsia" w:ascii="宋体" w:hAnsi="宋体" w:cs="Calibri"/>
          <w:b/>
          <w:bCs/>
          <w:color w:val="auto"/>
          <w:szCs w:val="21"/>
          <w:highlight w:val="none"/>
          <w:lang w:val="en-US" w:eastAsia="zh-CN"/>
        </w:rPr>
      </w:pPr>
      <w:r>
        <w:rPr>
          <w:rFonts w:hint="eastAsia"/>
          <w:b/>
          <w:bCs/>
          <w:lang w:val="en-US" w:eastAsia="zh-CN"/>
        </w:rPr>
        <w:t>2.上</w:t>
      </w:r>
      <w:r>
        <w:rPr>
          <w:rFonts w:hint="eastAsia" w:ascii="宋体" w:hAnsi="宋体" w:cs="Calibri"/>
          <w:b/>
          <w:bCs/>
          <w:color w:val="auto"/>
          <w:szCs w:val="21"/>
          <w:highlight w:val="none"/>
        </w:rPr>
        <w:t>表中的床、柜、书桌，在中标后，须根据房间的具体摆放条件进行调整</w:t>
      </w:r>
      <w:r>
        <w:rPr>
          <w:rFonts w:hint="eastAsia" w:ascii="宋体" w:hAnsi="宋体" w:cs="Calibri"/>
          <w:b/>
          <w:bCs/>
          <w:color w:val="auto"/>
          <w:szCs w:val="21"/>
          <w:highlight w:val="none"/>
          <w:lang w:val="en-US" w:eastAsia="zh-CN"/>
        </w:rPr>
        <w:t>;</w:t>
      </w:r>
    </w:p>
    <w:p>
      <w:pPr>
        <w:numPr>
          <w:ilvl w:val="-1"/>
          <w:numId w:val="0"/>
        </w:numPr>
        <w:spacing w:line="360" w:lineRule="auto"/>
        <w:ind w:firstLine="632" w:firstLineChars="300"/>
        <w:rPr>
          <w:rFonts w:hint="eastAsia"/>
          <w:b/>
          <w:bCs/>
          <w:lang w:val="en-US" w:eastAsia="zh-CN"/>
        </w:rPr>
      </w:pPr>
      <w:r>
        <w:rPr>
          <w:rFonts w:hint="eastAsia" w:ascii="宋体" w:hAnsi="宋体" w:cs="Calibri"/>
          <w:b/>
          <w:bCs/>
          <w:color w:val="auto"/>
          <w:szCs w:val="21"/>
          <w:highlight w:val="none"/>
          <w:lang w:val="en-US" w:eastAsia="zh-CN"/>
        </w:rPr>
        <w:t>3.考虑到少数高个子学生需求，其中40间寝室床铺调整为2张床铺长2.1米，4张床铺长1.95米。</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三</w:t>
      </w:r>
      <w:r>
        <w:rPr>
          <w:rFonts w:hint="eastAsia" w:ascii="新宋体" w:hAnsi="新宋体" w:eastAsia="新宋体" w:cs="新宋体"/>
          <w:sz w:val="24"/>
          <w:szCs w:val="24"/>
        </w:rPr>
        <w:t>、项目要求</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要求使用绿色环保材料，制作的产品要进行异味的去除，确保安装后的货物对人体无害。</w:t>
      </w:r>
    </w:p>
    <w:p>
      <w:pPr>
        <w:adjustRightInd w:val="0"/>
        <w:snapToGrid w:val="0"/>
        <w:spacing w:line="360" w:lineRule="auto"/>
        <w:ind w:firstLine="480" w:firstLineChars="200"/>
        <w:jc w:val="left"/>
        <w:rPr>
          <w:rFonts w:hint="eastAsia" w:ascii="新宋体" w:hAnsi="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投标人必须充分考虑招标方案中的技术规范，根据招标人的产品式样、功能、结构、材质等技术要求，提供投标响应方案。投标人可在符合招标方技术规范的情况下，充分发挥自身的优势和特点</w:t>
      </w:r>
      <w:r>
        <w:rPr>
          <w:rFonts w:hint="eastAsia" w:ascii="新宋体" w:hAnsi="新宋体" w:eastAsia="新宋体" w:cs="新宋体"/>
          <w:sz w:val="24"/>
          <w:szCs w:val="24"/>
          <w:lang w:eastAsia="zh-CN"/>
        </w:rPr>
        <w:t>优化完善方案</w:t>
      </w:r>
      <w:r>
        <w:rPr>
          <w:rFonts w:hint="eastAsia" w:ascii="新宋体" w:hAnsi="新宋体" w:eastAsia="新宋体" w:cs="新宋体"/>
          <w:sz w:val="24"/>
          <w:szCs w:val="24"/>
        </w:rPr>
        <w:t>，提供相应的设计方案、技术方案和投标货物。阐明响应方案的实现思路及关键技术、符合本项目对当前和未来发展的要求、以及对功能设计和实施计划的建议。</w:t>
      </w:r>
      <w:r>
        <w:rPr>
          <w:rFonts w:hint="eastAsia" w:ascii="宋体" w:hAnsi="宋体" w:cs="宋体"/>
          <w:b/>
          <w:bCs/>
          <w:color w:val="0000FF"/>
          <w:kern w:val="0"/>
          <w:sz w:val="24"/>
          <w:szCs w:val="24"/>
        </w:rPr>
        <w:t>投标人在响应方案中应明确主材、辅材和主要配件的产地（或生产厂家）、品牌、规格型号及主要技术参数，并提供相应说明材料。</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投标人的投标货物要按照本招标文件货物规格尺寸要求一次性报价</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同时应满足使用要求。报价应包含货物本体、</w:t>
      </w:r>
      <w:r>
        <w:rPr>
          <w:rFonts w:hint="eastAsia" w:ascii="新宋体" w:hAnsi="新宋体" w:eastAsia="新宋体" w:cs="新宋体"/>
          <w:sz w:val="24"/>
          <w:szCs w:val="24"/>
          <w:lang w:eastAsia="zh-CN"/>
        </w:rPr>
        <w:t>仓储、</w:t>
      </w:r>
      <w:r>
        <w:rPr>
          <w:rFonts w:hint="eastAsia" w:ascii="新宋体" w:hAnsi="新宋体" w:eastAsia="新宋体" w:cs="新宋体"/>
          <w:sz w:val="24"/>
          <w:szCs w:val="24"/>
        </w:rPr>
        <w:t>运输、包装、装卸、安装、调试、服务等完税后费用。</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在中标后采购人有权选择中标货物的颜色，中标价格不变；采购人有权在不改基本规格尺寸的基础上，要求中标单位提供的货物在样式上稍做</w:t>
      </w:r>
      <w:r>
        <w:rPr>
          <w:rFonts w:hint="eastAsia" w:ascii="新宋体" w:hAnsi="新宋体" w:eastAsia="新宋体" w:cs="新宋体"/>
          <w:sz w:val="24"/>
          <w:szCs w:val="24"/>
          <w:lang w:eastAsia="zh-CN"/>
        </w:rPr>
        <w:t>优化</w:t>
      </w:r>
      <w:r>
        <w:rPr>
          <w:rFonts w:hint="eastAsia" w:ascii="新宋体" w:hAnsi="新宋体" w:eastAsia="新宋体" w:cs="新宋体"/>
          <w:sz w:val="24"/>
          <w:szCs w:val="24"/>
        </w:rPr>
        <w:t>改动，价格不变。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在实施方案中应提供完成本项目组建的工作小组名单，每个专业人员的情况和数量，明确各阶段投入人数；每个参加项目人员的履历表应一并提交，主要内容包括学历、技术职称、工作特长、经验与业绩、社保、资质情况等。</w:t>
      </w:r>
    </w:p>
    <w:p>
      <w:pPr>
        <w:adjustRightInd w:val="0"/>
        <w:snapToGrid w:val="0"/>
        <w:spacing w:line="360" w:lineRule="auto"/>
        <w:ind w:firstLine="480" w:firstLineChars="200"/>
        <w:jc w:val="left"/>
        <w:rPr>
          <w:rFonts w:hint="eastAsia"/>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应保证，采购人在使用该货物或货物的任何一部分时，免受第三方提出的侵犯其专利权、商标权、著作权或其它知识产权的起诉。</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应承担由此可能产生的一切法律责任和费用。</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四</w:t>
      </w:r>
      <w:r>
        <w:rPr>
          <w:rFonts w:hint="eastAsia" w:ascii="新宋体" w:hAnsi="新宋体" w:eastAsia="新宋体" w:cs="新宋体"/>
          <w:sz w:val="24"/>
          <w:szCs w:val="24"/>
        </w:rPr>
        <w:t>、样品</w:t>
      </w:r>
    </w:p>
    <w:p>
      <w:pPr>
        <w:adjustRightInd w:val="0"/>
        <w:snapToGrid w:val="0"/>
        <w:spacing w:line="360" w:lineRule="auto"/>
        <w:ind w:firstLine="480" w:firstLineChars="200"/>
        <w:jc w:val="left"/>
        <w:rPr>
          <w:rFonts w:ascii="新宋体" w:hAnsi="新宋体" w:eastAsia="新宋体"/>
          <w:sz w:val="24"/>
          <w:szCs w:val="24"/>
        </w:rPr>
      </w:pPr>
      <w:r>
        <w:rPr>
          <w:rFonts w:hint="eastAsia" w:ascii="新宋体" w:hAnsi="新宋体" w:eastAsia="新宋体"/>
          <w:sz w:val="24"/>
          <w:szCs w:val="24"/>
        </w:rPr>
        <w:t>1</w:t>
      </w:r>
      <w:r>
        <w:rPr>
          <w:rFonts w:hint="eastAsia" w:ascii="新宋体" w:hAnsi="新宋体" w:eastAsia="新宋体"/>
          <w:sz w:val="24"/>
          <w:szCs w:val="24"/>
          <w:lang w:val="en-US" w:eastAsia="zh-CN"/>
        </w:rPr>
        <w:t>.</w:t>
      </w:r>
      <w:r>
        <w:rPr>
          <w:rFonts w:hint="eastAsia" w:ascii="新宋体" w:hAnsi="新宋体" w:eastAsia="新宋体"/>
          <w:sz w:val="24"/>
          <w:szCs w:val="24"/>
        </w:rPr>
        <w:t>样品清单</w:t>
      </w:r>
    </w:p>
    <w:tbl>
      <w:tblPr>
        <w:tblStyle w:val="17"/>
        <w:tblW w:w="7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13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序号</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样品名称</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单人上铺床架</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2</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书桌组合衣柜</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3</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 xml:space="preserve">三人储物柜 </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4</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椅子</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default"/>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5</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板材、钢柱、五金配件、塑料板等</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default"/>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各1件</w:t>
            </w:r>
          </w:p>
        </w:tc>
      </w:tr>
    </w:tbl>
    <w:p>
      <w:pPr>
        <w:numPr>
          <w:ilvl w:val="-1"/>
          <w:numId w:val="0"/>
        </w:num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样品的提交：投标人必须按照招标文件要求免费提供</w:t>
      </w:r>
      <w:r>
        <w:rPr>
          <w:rFonts w:hint="eastAsia" w:ascii="新宋体" w:hAnsi="新宋体" w:eastAsia="新宋体" w:cs="新宋体"/>
          <w:b/>
          <w:bCs/>
          <w:color w:val="FF0000"/>
          <w:sz w:val="24"/>
          <w:szCs w:val="24"/>
        </w:rPr>
        <w:t>显示投标人标志</w:t>
      </w:r>
      <w:r>
        <w:rPr>
          <w:rFonts w:hint="eastAsia" w:ascii="新宋体" w:hAnsi="新宋体" w:eastAsia="新宋体" w:cs="新宋体"/>
          <w:sz w:val="24"/>
          <w:szCs w:val="24"/>
        </w:rPr>
        <w:t>的全部样品。样品为本次评标的重要组成部分，请在</w:t>
      </w:r>
      <w:r>
        <w:rPr>
          <w:rFonts w:hint="eastAsia" w:ascii="新宋体" w:hAnsi="新宋体" w:eastAsia="新宋体" w:cs="新宋体"/>
          <w:b/>
          <w:bCs/>
          <w:sz w:val="24"/>
          <w:szCs w:val="24"/>
        </w:rPr>
        <w:t>开标前1日内</w:t>
      </w:r>
      <w:r>
        <w:rPr>
          <w:rFonts w:hint="eastAsia" w:ascii="新宋体" w:hAnsi="新宋体" w:eastAsia="新宋体" w:cs="新宋体"/>
          <w:sz w:val="24"/>
          <w:szCs w:val="24"/>
        </w:rPr>
        <w:t>送至指定现场</w:t>
      </w:r>
      <w:r>
        <w:rPr>
          <w:rFonts w:hint="eastAsia" w:ascii="新宋体" w:hAnsi="新宋体" w:eastAsia="新宋体" w:cs="新宋体"/>
          <w:sz w:val="24"/>
          <w:szCs w:val="24"/>
          <w:lang w:eastAsia="zh-CN"/>
        </w:rPr>
        <w:t>：</w:t>
      </w:r>
      <w:r>
        <w:rPr>
          <w:rFonts w:hint="eastAsia" w:ascii="新宋体" w:hAnsi="新宋体" w:eastAsia="新宋体" w:cs="新宋体"/>
          <w:color w:val="FF0000"/>
          <w:sz w:val="24"/>
          <w:szCs w:val="24"/>
          <w:lang w:val="en-US" w:eastAsia="zh-CN"/>
        </w:rPr>
        <w:t>衢州市公共资源交易中心（五楼）样品室（衢州市西区花园东大道169号5楼）</w:t>
      </w:r>
      <w:r>
        <w:rPr>
          <w:rFonts w:hint="eastAsia" w:ascii="新宋体" w:hAnsi="新宋体" w:eastAsia="新宋体" w:cs="新宋体"/>
          <w:color w:val="FF0000"/>
          <w:sz w:val="24"/>
          <w:szCs w:val="24"/>
        </w:rPr>
        <w:t>，</w:t>
      </w:r>
      <w:r>
        <w:rPr>
          <w:rFonts w:hint="eastAsia" w:ascii="新宋体" w:hAnsi="新宋体" w:eastAsia="新宋体" w:cs="新宋体"/>
          <w:sz w:val="24"/>
          <w:szCs w:val="24"/>
        </w:rPr>
        <w:t>有变化的另行通知。</w:t>
      </w:r>
    </w:p>
    <w:p>
      <w:pPr>
        <w:numPr>
          <w:ilvl w:val="-1"/>
          <w:numId w:val="0"/>
        </w:num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3.样品的优化：根据招标评委提出意见优化并确认样品方案，价格不变。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样品的取回：采购中心在通知投标人可取回样品后，投标人</w:t>
      </w:r>
      <w:r>
        <w:rPr>
          <w:rFonts w:hint="eastAsia" w:ascii="新宋体" w:hAnsi="新宋体" w:eastAsia="新宋体" w:cs="新宋体"/>
          <w:sz w:val="24"/>
          <w:szCs w:val="24"/>
          <w:lang w:eastAsia="zh-CN"/>
        </w:rPr>
        <w:t>按规定取回样品</w:t>
      </w:r>
      <w:r>
        <w:rPr>
          <w:rFonts w:hint="eastAsia" w:ascii="新宋体" w:hAnsi="新宋体" w:eastAsia="新宋体" w:cs="新宋体"/>
          <w:sz w:val="24"/>
          <w:szCs w:val="24"/>
        </w:rPr>
        <w:t>（采购需求中采购人另有要求的从其规定）。</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五</w:t>
      </w:r>
      <w:r>
        <w:rPr>
          <w:rFonts w:hint="eastAsia" w:ascii="新宋体" w:hAnsi="新宋体" w:eastAsia="新宋体" w:cs="新宋体"/>
          <w:sz w:val="24"/>
          <w:szCs w:val="24"/>
        </w:rPr>
        <w:t>、商务要求</w:t>
      </w:r>
    </w:p>
    <w:p>
      <w:pPr>
        <w:adjustRightInd w:val="0"/>
        <w:snapToGrid w:val="0"/>
        <w:spacing w:line="360" w:lineRule="auto"/>
        <w:ind w:firstLine="480" w:firstLineChars="200"/>
        <w:jc w:val="left"/>
        <w:rPr>
          <w:rFonts w:hint="default" w:ascii="宋体" w:hAnsi="宋体"/>
          <w:sz w:val="24"/>
          <w:szCs w:val="24"/>
          <w:u w:val="single"/>
          <w:lang w:val="en-US" w:eastAsia="zh-CN"/>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交货期：</w:t>
      </w:r>
      <w:r>
        <w:rPr>
          <w:rFonts w:hint="eastAsia" w:ascii="宋体" w:hAnsi="宋体"/>
          <w:sz w:val="24"/>
          <w:szCs w:val="24"/>
        </w:rPr>
        <w:t>中标人收到中标通知书后</w:t>
      </w:r>
      <w:r>
        <w:rPr>
          <w:rFonts w:hint="eastAsia" w:ascii="宋体" w:hAnsi="宋体"/>
          <w:sz w:val="24"/>
          <w:szCs w:val="24"/>
          <w:lang w:val="en-US" w:eastAsia="zh-CN"/>
        </w:rPr>
        <w:t>7</w:t>
      </w:r>
      <w:r>
        <w:rPr>
          <w:rFonts w:hint="eastAsia" w:ascii="宋体" w:hAnsi="宋体"/>
          <w:sz w:val="24"/>
          <w:szCs w:val="24"/>
        </w:rPr>
        <w:t>天内签订供货合同，</w:t>
      </w:r>
      <w:r>
        <w:rPr>
          <w:rFonts w:hint="eastAsia" w:ascii="宋体" w:hAnsi="宋体"/>
          <w:sz w:val="24"/>
          <w:szCs w:val="24"/>
          <w:u w:val="single"/>
        </w:rPr>
        <w:t>合同签订后</w:t>
      </w:r>
      <w:r>
        <w:rPr>
          <w:rFonts w:hint="eastAsia" w:ascii="宋体" w:hAnsi="宋体"/>
          <w:sz w:val="24"/>
          <w:szCs w:val="24"/>
          <w:u w:val="single"/>
          <w:lang w:eastAsia="zh-CN"/>
        </w:rPr>
        <w:t>按计划组织生产，</w:t>
      </w:r>
      <w:r>
        <w:rPr>
          <w:rFonts w:hint="eastAsia" w:ascii="宋体" w:hAnsi="宋体"/>
          <w:sz w:val="24"/>
          <w:szCs w:val="24"/>
          <w:u w:val="single"/>
          <w:lang w:val="en-US" w:eastAsia="zh-CN"/>
        </w:rPr>
        <w:t>2022年11月30日之前完成生产，2023年5月30日之前完成安装，如有调整按照双方约定时间为准。</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质保及服务响应：货物质保期要求至少五年，质保期内免费维修、免费更换缺陷部件，响应时间要求为中标人接到采购人通知后4小时内；提供一定量的备用零部件；质保期内上门回访、免费保修；质保期后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生产查验：在生产过程中，采购人有权到中标人的生产现场对基材、半成品、五金件、在制品进行检验，检验内容包括但不限于：生产现场与投标文件的承诺一致性；基材的品牌和环保指标；主要原（辅）材料规格（如</w:t>
      </w:r>
      <w:r>
        <w:rPr>
          <w:rFonts w:hint="eastAsia" w:ascii="新宋体" w:hAnsi="新宋体" w:eastAsia="新宋体" w:cs="新宋体"/>
          <w:sz w:val="24"/>
          <w:szCs w:val="24"/>
          <w:lang w:eastAsia="zh-CN"/>
        </w:rPr>
        <w:t>板材</w:t>
      </w:r>
      <w:r>
        <w:rPr>
          <w:rFonts w:hint="eastAsia" w:ascii="新宋体" w:hAnsi="新宋体" w:eastAsia="新宋体" w:cs="新宋体"/>
          <w:sz w:val="24"/>
          <w:szCs w:val="24"/>
        </w:rPr>
        <w:t>厚度、钢板厚度等）、材质等；产品的加工工艺水平及产品结构合理性或符合性等。</w:t>
      </w:r>
    </w:p>
    <w:p>
      <w:pPr>
        <w:adjustRightInd w:val="0"/>
        <w:snapToGrid w:val="0"/>
        <w:spacing w:line="360" w:lineRule="auto"/>
        <w:ind w:firstLine="482" w:firstLineChars="200"/>
        <w:jc w:val="left"/>
        <w:rPr>
          <w:rFonts w:hint="eastAsia" w:ascii="新宋体" w:hAnsi="新宋体" w:eastAsia="新宋体" w:cs="新宋体"/>
          <w:sz w:val="24"/>
          <w:szCs w:val="24"/>
        </w:rPr>
      </w:pPr>
      <w:r>
        <w:rPr>
          <w:rFonts w:hint="eastAsia" w:ascii="新宋体" w:hAnsi="新宋体" w:eastAsia="新宋体" w:cs="新宋体"/>
          <w:b/>
          <w:bCs/>
          <w:sz w:val="24"/>
          <w:szCs w:val="24"/>
        </w:rPr>
        <w:t>对于招标文件要求提供检测报告作为评审依据的原（辅）材料，原（辅）材料到生产现场后，中标人应进行</w:t>
      </w:r>
      <w:r>
        <w:rPr>
          <w:rFonts w:hint="eastAsia" w:ascii="新宋体" w:hAnsi="新宋体" w:eastAsia="新宋体" w:cs="新宋体"/>
          <w:b/>
          <w:bCs/>
          <w:sz w:val="24"/>
          <w:szCs w:val="24"/>
          <w:highlight w:val="none"/>
          <w:u w:val="single"/>
          <w:lang w:eastAsia="zh-CN"/>
        </w:rPr>
        <w:t>相关检测</w:t>
      </w:r>
      <w:r>
        <w:rPr>
          <w:rFonts w:hint="eastAsia" w:ascii="新宋体" w:hAnsi="新宋体" w:eastAsia="新宋体" w:cs="新宋体"/>
          <w:b/>
          <w:bCs/>
          <w:sz w:val="24"/>
          <w:szCs w:val="24"/>
        </w:rPr>
        <w:t>（检测费用由中标人承担），检测结果作为验收资料组成部分。</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安装与验收：</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（1）在明确安装地点后，中标人应先行到安装现场察看，有核对户型、数量、安装条件及各类户型左右向区分等义务。</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（2）中标人负责在货物送达采购人使用现场，完成安装调试，向采购人提出验收申请。</w:t>
      </w:r>
    </w:p>
    <w:p>
      <w:pPr>
        <w:adjustRightInd w:val="0"/>
        <w:snapToGrid w:val="0"/>
        <w:spacing w:line="360" w:lineRule="auto"/>
        <w:ind w:firstLine="480" w:firstLineChars="200"/>
        <w:jc w:val="left"/>
        <w:rPr>
          <w:rFonts w:hint="eastAsia" w:ascii="宋体" w:hAnsi="宋体"/>
          <w:b/>
          <w:bCs/>
          <w:color w:val="000000"/>
          <w:szCs w:val="21"/>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产品安装完成后，中标人须对每层两个房间进行室内环境检测，检测结果作为验收资料组成部分。</w:t>
      </w:r>
    </w:p>
    <w:p>
      <w:pPr>
        <w:adjustRightInd w:val="0"/>
        <w:snapToGrid w:val="0"/>
        <w:spacing w:line="360" w:lineRule="auto"/>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（4）采购人可以邀请其他投标人参加验收，</w:t>
      </w:r>
      <w:r>
        <w:rPr>
          <w:rFonts w:hint="eastAsia" w:ascii="宋体" w:hAnsi="宋体" w:cs="宋体"/>
          <w:b/>
          <w:bCs/>
          <w:sz w:val="24"/>
          <w:szCs w:val="24"/>
        </w:rPr>
        <w:t>参与验收投标人的意见作为验收书的参考资料一并存档</w:t>
      </w:r>
      <w:r>
        <w:rPr>
          <w:rFonts w:hint="eastAsia" w:ascii="新宋体" w:hAnsi="新宋体" w:eastAsia="新宋体" w:cs="新宋体"/>
          <w:b/>
          <w:bCs/>
          <w:sz w:val="24"/>
          <w:szCs w:val="24"/>
        </w:rPr>
        <w:t>。</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（5）搬运安装过程中造成原建筑设施、室外道路、绿化、墙体、门窗、锁具等损坏及下水道堵塞的，由中标人进行修复或按实赔偿，或由采购人委托第三方修复，所产生费用由中标人支付。</w:t>
      </w:r>
    </w:p>
    <w:p>
      <w:pPr>
        <w:pStyle w:val="19"/>
        <w:rPr>
          <w:rFonts w:hint="eastAsia" w:eastAsia="新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eastAsia="zh-CN"/>
        </w:rPr>
        <w:t>）产品生产后的仓储、运输，或二次仓储、二次运输等相关费用由中标人支付。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培训支持：</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根据项目的实施，</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应提供以下内容的培训和现场指导：</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（1）提供现场安装培训。</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（2）用户使用和操作培训，并提供用户操作手册。</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（3）提供基本的故障识别和处理培训。</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以上所有培训及认证费用应以包括在此项目中，不再另行收费，培训时间及地点由采购人指定。</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六</w:t>
      </w:r>
      <w:r>
        <w:rPr>
          <w:rFonts w:hint="eastAsia" w:ascii="宋体" w:hAnsi="宋体" w:eastAsia="宋体" w:cs="宋体"/>
          <w:b/>
          <w:bCs/>
          <w:color w:val="000000"/>
          <w:sz w:val="24"/>
          <w:szCs w:val="24"/>
          <w:highlight w:val="none"/>
        </w:rPr>
        <w:t>、质量保证及售后服务要求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rPr>
        <w:t>质量保证</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质保期：自产品验收合格之日起，对非人为故意损坏的产品，</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提供</w:t>
      </w:r>
      <w:r>
        <w:rPr>
          <w:rFonts w:hint="eastAsia" w:ascii="宋体" w:hAnsi="宋体" w:eastAsia="宋体" w:cs="宋体"/>
          <w:color w:val="FF0000"/>
          <w:sz w:val="24"/>
          <w:szCs w:val="24"/>
          <w:highlight w:val="none"/>
          <w:lang w:eastAsia="zh-CN"/>
        </w:rPr>
        <w:t>至少五年</w:t>
      </w:r>
      <w:r>
        <w:rPr>
          <w:rFonts w:hint="eastAsia" w:ascii="宋体" w:hAnsi="宋体" w:eastAsia="宋体" w:cs="宋体"/>
          <w:color w:val="000000"/>
          <w:sz w:val="24"/>
          <w:szCs w:val="24"/>
          <w:highlight w:val="none"/>
        </w:rPr>
        <w:t>免费维修服务（包括原厂配件更换），定期进行免费保养，并承诺在</w:t>
      </w:r>
      <w:r>
        <w:rPr>
          <w:rFonts w:hint="eastAsia" w:ascii="宋体" w:hAnsi="宋体" w:eastAsia="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通知后</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小时内到达现场做出处理，在24小时内修复。</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质保期内因不能排除的故障而影响工作的情况每发生一次，其质保期相应延长60天，质保期内因</w:t>
      </w:r>
      <w:r>
        <w:rPr>
          <w:rFonts w:hint="eastAsia" w:ascii="宋体" w:hAnsi="宋体" w:eastAsia="宋体" w:cs="宋体"/>
          <w:color w:val="000000"/>
          <w:sz w:val="24"/>
          <w:szCs w:val="24"/>
          <w:highlight w:val="none"/>
          <w:lang w:val="en-US" w:eastAsia="zh-CN"/>
        </w:rPr>
        <w:t>货物</w:t>
      </w:r>
      <w:r>
        <w:rPr>
          <w:rFonts w:hint="eastAsia" w:ascii="宋体" w:hAnsi="宋体" w:eastAsia="宋体" w:cs="宋体"/>
          <w:color w:val="000000"/>
          <w:sz w:val="24"/>
          <w:szCs w:val="24"/>
          <w:highlight w:val="none"/>
        </w:rPr>
        <w:t>本身缺陷造成各种故障应由</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免费予以技术服务和维修（如有必要可进行更换），否则将扣除履约保证金作为对采购人的补偿。</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在质保期内，</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应确保正常使用，零配件在停产后仍需保证供应，维修过程中所需零配件</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在接到通知后应当天及时提供，并最长不超过12小时（特殊</w:t>
      </w:r>
      <w:r>
        <w:rPr>
          <w:rFonts w:hint="eastAsia" w:ascii="宋体" w:hAnsi="宋体" w:cs="宋体"/>
          <w:color w:val="000000"/>
          <w:sz w:val="24"/>
          <w:szCs w:val="24"/>
          <w:highlight w:val="none"/>
          <w:lang w:eastAsia="zh-CN"/>
        </w:rPr>
        <w:t>情况</w:t>
      </w:r>
      <w:r>
        <w:rPr>
          <w:rFonts w:hint="eastAsia" w:ascii="宋体" w:hAnsi="宋体" w:eastAsia="宋体" w:cs="宋体"/>
          <w:color w:val="000000"/>
          <w:sz w:val="24"/>
          <w:szCs w:val="24"/>
          <w:highlight w:val="none"/>
        </w:rPr>
        <w:t>另行说明）送达用户指定地点。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在质保期内，所有服务及备件全部免费。质保期满后，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r>
        <w:rPr>
          <w:rFonts w:hint="eastAsia" w:ascii="新宋体" w:hAnsi="新宋体" w:eastAsia="新宋体" w:cs="新宋体"/>
          <w:sz w:val="24"/>
          <w:szCs w:val="24"/>
          <w:lang w:eastAsia="zh-CN"/>
        </w:rPr>
        <w:t>服务</w:t>
      </w:r>
      <w:r>
        <w:rPr>
          <w:rFonts w:hint="eastAsia" w:ascii="新宋体" w:hAnsi="新宋体" w:eastAsia="新宋体" w:cs="新宋体"/>
          <w:sz w:val="24"/>
          <w:szCs w:val="24"/>
        </w:rPr>
        <w:t>。</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应对所提供的</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有明确的质量违约责任承诺。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售后服务要求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eastAsia="zh-CN"/>
        </w:rPr>
        <w:t>）</w:t>
      </w:r>
      <w:r>
        <w:rPr>
          <w:rFonts w:hint="eastAsia" w:ascii="宋体" w:hAnsi="宋体" w:eastAsia="宋体" w:cs="宋体"/>
          <w:b/>
          <w:color w:val="000000"/>
          <w:sz w:val="24"/>
          <w:szCs w:val="24"/>
          <w:highlight w:val="none"/>
          <w:u w:val="single"/>
        </w:rPr>
        <w:t>项目验收合格后，</w:t>
      </w:r>
      <w:r>
        <w:rPr>
          <w:rFonts w:hint="eastAsia" w:ascii="宋体" w:hAnsi="宋体" w:eastAsia="宋体" w:cs="宋体"/>
          <w:b/>
          <w:color w:val="000000"/>
          <w:sz w:val="24"/>
          <w:szCs w:val="24"/>
          <w:highlight w:val="none"/>
          <w:u w:val="single"/>
          <w:lang w:eastAsia="zh-CN"/>
        </w:rPr>
        <w:t>投标人</w:t>
      </w:r>
      <w:r>
        <w:rPr>
          <w:rFonts w:hint="eastAsia" w:ascii="宋体" w:hAnsi="宋体" w:eastAsia="宋体" w:cs="宋体"/>
          <w:b/>
          <w:color w:val="000000"/>
          <w:sz w:val="24"/>
          <w:szCs w:val="24"/>
          <w:highlight w:val="none"/>
          <w:u w:val="single"/>
        </w:rPr>
        <w:t>须提供为期</w:t>
      </w:r>
      <w:r>
        <w:rPr>
          <w:rFonts w:hint="eastAsia" w:ascii="宋体" w:hAnsi="宋体" w:eastAsia="宋体" w:cs="宋体"/>
          <w:b/>
          <w:color w:val="FF0000"/>
          <w:sz w:val="24"/>
          <w:szCs w:val="24"/>
          <w:highlight w:val="none"/>
          <w:u w:val="single"/>
          <w:lang w:eastAsia="zh-CN"/>
        </w:rPr>
        <w:t>不少于五年</w:t>
      </w:r>
      <w:r>
        <w:rPr>
          <w:rFonts w:hint="eastAsia" w:ascii="宋体" w:hAnsi="宋体" w:eastAsia="宋体" w:cs="宋体"/>
          <w:b/>
          <w:color w:val="000000"/>
          <w:sz w:val="24"/>
          <w:szCs w:val="24"/>
          <w:highlight w:val="none"/>
          <w:u w:val="single"/>
        </w:rPr>
        <w:t>的免费运维保障服务及技术支持。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ascii="宋体" w:hAnsi="宋体" w:eastAsia="宋体" w:cs="宋体"/>
          <w:b/>
          <w:bCs/>
          <w:color w:val="000000"/>
          <w:sz w:val="24"/>
          <w:szCs w:val="24"/>
          <w:highlight w:val="none"/>
          <w:lang w:eastAsia="zh-CN"/>
        </w:rPr>
        <w:t>）</w:t>
      </w:r>
      <w:r>
        <w:rPr>
          <w:rFonts w:hint="eastAsia" w:ascii="宋体" w:hAnsi="宋体" w:eastAsia="宋体" w:cs="宋体"/>
          <w:b/>
          <w:color w:val="000000"/>
          <w:sz w:val="24"/>
          <w:szCs w:val="24"/>
          <w:highlight w:val="none"/>
          <w:u w:val="single"/>
        </w:rPr>
        <w:t>所有</w:t>
      </w:r>
      <w:r>
        <w:rPr>
          <w:rFonts w:hint="eastAsia" w:ascii="宋体" w:hAnsi="宋体" w:cs="宋体"/>
          <w:b/>
          <w:color w:val="000000"/>
          <w:sz w:val="24"/>
          <w:szCs w:val="24"/>
          <w:highlight w:val="none"/>
          <w:u w:val="single"/>
          <w:lang w:eastAsia="zh-CN"/>
        </w:rPr>
        <w:t>产品</w:t>
      </w:r>
      <w:r>
        <w:rPr>
          <w:rFonts w:hint="eastAsia" w:ascii="宋体" w:hAnsi="宋体" w:eastAsia="宋体" w:cs="宋体"/>
          <w:b/>
          <w:color w:val="000000"/>
          <w:sz w:val="24"/>
          <w:szCs w:val="24"/>
          <w:highlight w:val="none"/>
          <w:u w:val="single"/>
        </w:rPr>
        <w:t>自验收合格后</w:t>
      </w:r>
      <w:r>
        <w:rPr>
          <w:rFonts w:hint="eastAsia" w:ascii="宋体" w:hAnsi="宋体" w:eastAsia="宋体" w:cs="宋体"/>
          <w:color w:val="000000"/>
          <w:sz w:val="24"/>
          <w:szCs w:val="24"/>
          <w:highlight w:val="none"/>
        </w:rPr>
        <w:t>提供专用报修电话；提供一名原厂专署技术客户经理跟踪整个服务事件以及紧急派遣，专署技术客户经理提供与电话支持同步的现场故障诊断。</w:t>
      </w:r>
    </w:p>
    <w:p>
      <w:pPr>
        <w:spacing w:line="360" w:lineRule="auto"/>
        <w:ind w:firstLine="482" w:firstLineChars="200"/>
        <w:rPr>
          <w:rFonts w:hint="eastAsia" w:eastAsia="宋体"/>
          <w:b/>
          <w:color w:val="000000"/>
          <w:sz w:val="24"/>
          <w:lang w:eastAsia="zh-CN"/>
        </w:rPr>
      </w:pPr>
      <w:r>
        <w:rPr>
          <w:rFonts w:hint="eastAsia"/>
          <w:b/>
          <w:color w:val="000000"/>
          <w:sz w:val="24"/>
          <w:lang w:eastAsia="zh-CN"/>
        </w:rPr>
        <w:t>七</w:t>
      </w:r>
      <w:r>
        <w:rPr>
          <w:b/>
          <w:color w:val="000000"/>
          <w:sz w:val="24"/>
        </w:rPr>
        <w:t>、</w:t>
      </w:r>
      <w:r>
        <w:rPr>
          <w:rFonts w:hint="eastAsia"/>
          <w:b/>
          <w:color w:val="000000"/>
          <w:sz w:val="24"/>
          <w:lang w:val="en-US" w:eastAsia="zh-CN"/>
        </w:rPr>
        <w:t>其他</w:t>
      </w:r>
    </w:p>
    <w:p>
      <w:pPr>
        <w:widowControl/>
        <w:spacing w:line="360" w:lineRule="auto"/>
        <w:ind w:firstLine="482" w:firstLineChars="200"/>
        <w:jc w:val="left"/>
        <w:rPr>
          <w:rFonts w:hint="default"/>
          <w:b/>
          <w:color w:val="FF0000"/>
          <w:sz w:val="24"/>
          <w:lang w:val="en-US"/>
        </w:rPr>
      </w:pPr>
      <w:r>
        <w:rPr>
          <w:rFonts w:hint="default"/>
          <w:b/>
          <w:color w:val="FF0000"/>
          <w:sz w:val="24"/>
          <w:lang w:val="en-US"/>
        </w:rPr>
        <w:t>1.核心产品为</w:t>
      </w:r>
      <w:r>
        <w:rPr>
          <w:rFonts w:hint="eastAsia"/>
          <w:b/>
          <w:color w:val="FF0000"/>
          <w:sz w:val="24"/>
          <w:lang w:val="en-US" w:eastAsia="zh-CN"/>
        </w:rPr>
        <w:t>单人上铺床架、书桌组合衣柜</w:t>
      </w:r>
      <w:r>
        <w:rPr>
          <w:rFonts w:hint="default"/>
          <w:b/>
          <w:color w:val="FF0000"/>
          <w:sz w:val="24"/>
          <w:lang w:val="en-US"/>
        </w:rPr>
        <w:t>。</w:t>
      </w:r>
    </w:p>
    <w:p>
      <w:pPr>
        <w:spacing w:line="360" w:lineRule="auto"/>
        <w:ind w:firstLine="482" w:firstLineChars="200"/>
        <w:rPr>
          <w:b/>
          <w:color w:val="000000"/>
          <w:kern w:val="0"/>
          <w:sz w:val="24"/>
        </w:rPr>
      </w:pPr>
      <w:r>
        <w:rPr>
          <w:rFonts w:hint="eastAsia"/>
          <w:b/>
          <w:color w:val="000000"/>
          <w:kern w:val="0"/>
          <w:sz w:val="24"/>
          <w:lang w:val="en-US" w:eastAsia="zh-CN"/>
        </w:rPr>
        <w:t>2</w:t>
      </w:r>
      <w:r>
        <w:rPr>
          <w:b/>
          <w:color w:val="000000"/>
          <w:kern w:val="0"/>
          <w:sz w:val="24"/>
        </w:rPr>
        <w:t>.本项目所有</w:t>
      </w:r>
      <w:r>
        <w:rPr>
          <w:rFonts w:hint="eastAsia"/>
          <w:b/>
          <w:color w:val="000000"/>
          <w:kern w:val="0"/>
          <w:sz w:val="24"/>
          <w:lang w:eastAsia="zh-CN"/>
        </w:rPr>
        <w:t>生产、仓储、</w:t>
      </w:r>
      <w:r>
        <w:rPr>
          <w:b/>
          <w:color w:val="000000"/>
          <w:kern w:val="0"/>
          <w:sz w:val="24"/>
        </w:rPr>
        <w:t>运输、包装、搬运、安装、调试、培训等相关费用由中标方承担。</w:t>
      </w:r>
    </w:p>
    <w:p>
      <w:pPr>
        <w:spacing w:line="360" w:lineRule="auto"/>
        <w:ind w:firstLine="482" w:firstLineChars="200"/>
        <w:rPr>
          <w:rFonts w:hint="default" w:eastAsia="宋体"/>
          <w:color w:val="000000"/>
          <w:sz w:val="24"/>
          <w:lang w:val="en-US" w:eastAsia="zh-CN"/>
        </w:rPr>
      </w:pPr>
      <w:r>
        <w:rPr>
          <w:rFonts w:hint="eastAsia"/>
          <w:b/>
          <w:color w:val="000000"/>
          <w:kern w:val="0"/>
          <w:sz w:val="24"/>
          <w:lang w:val="en-US" w:eastAsia="zh-CN"/>
        </w:rPr>
        <w:t>3.</w:t>
      </w:r>
      <w:r>
        <w:rPr>
          <w:rFonts w:hint="eastAsia"/>
          <w:b/>
          <w:color w:val="000000"/>
          <w:kern w:val="0"/>
          <w:sz w:val="24"/>
          <w:lang w:eastAsia="zh-CN"/>
        </w:rPr>
        <w:t>乙方缴纳合同总价的1%作为履约保证金，汇入甲方指定账户后，甲方分两次付款。第一次在合同签订并乙方提供发票和银行预付款等额保函后10个工作日内支付合同总价的70%作为预付款给乙方，第二次在项目完成并运行验收合格并乙方提供发票后10个工作日内支付合同余款,同时全额无息退还乙方的履约保证金。</w:t>
      </w:r>
    </w:p>
    <w:p>
      <w:pPr>
        <w:keepNext w:val="0"/>
        <w:keepLines w:val="0"/>
        <w:pageBreakBefore w:val="0"/>
        <w:kinsoku/>
        <w:wordWrap/>
        <w:topLinePunct w:val="0"/>
        <w:bidi w:val="0"/>
        <w:spacing w:line="450" w:lineRule="exact"/>
        <w:jc w:val="center"/>
        <w:rPr>
          <w:rFonts w:hint="eastAsia" w:ascii="宋体" w:hAnsi="宋体" w:eastAsia="宋体" w:cs="宋体"/>
          <w:b/>
          <w:bCs/>
          <w:color w:val="FF0000"/>
          <w:sz w:val="24"/>
          <w:lang w:eastAsia="zh-CN"/>
        </w:rPr>
      </w:pPr>
      <w:r>
        <w:rPr>
          <w:b/>
          <w:color w:val="000000"/>
          <w:sz w:val="24"/>
        </w:rPr>
        <w:br w:type="page"/>
      </w:r>
      <w:r>
        <w:rPr>
          <w:rFonts w:hint="eastAsia" w:ascii="宋体" w:hAnsi="宋体" w:cs="宋体"/>
          <w:b/>
          <w:color w:val="000000"/>
          <w:sz w:val="32"/>
        </w:rPr>
        <w:t>第四章  合同主要条款</w:t>
      </w:r>
    </w:p>
    <w:p>
      <w:pPr>
        <w:pStyle w:val="10"/>
        <w:keepNext w:val="0"/>
        <w:keepLines w:val="0"/>
        <w:pageBreakBefore w:val="0"/>
        <w:kinsoku/>
        <w:wordWrap/>
        <w:topLinePunct w:val="0"/>
        <w:bidi w:val="0"/>
        <w:snapToGrid w:val="0"/>
        <w:spacing w:line="450" w:lineRule="exact"/>
        <w:rPr>
          <w:rFonts w:hint="eastAsia" w:ascii="宋体" w:hAnsi="宋体" w:eastAsia="宋体" w:cs="宋体"/>
          <w:b/>
          <w:color w:val="auto"/>
          <w:szCs w:val="21"/>
          <w:highlight w:val="none"/>
          <w:u w:val="wave"/>
        </w:rPr>
      </w:pPr>
      <w:r>
        <w:rPr>
          <w:rFonts w:hint="eastAsia" w:ascii="宋体" w:hAnsi="宋体" w:eastAsia="宋体" w:cs="宋体"/>
          <w:b/>
          <w:color w:val="auto"/>
          <w:szCs w:val="21"/>
          <w:highlight w:val="none"/>
          <w:u w:val="wave"/>
        </w:rPr>
        <w:t>说明：如甲乙双方同意，合同格式也可以按照其他形式。</w:t>
      </w:r>
    </w:p>
    <w:p>
      <w:pPr>
        <w:keepNext w:val="0"/>
        <w:keepLines w:val="0"/>
        <w:pageBreakBefore w:val="0"/>
        <w:kinsoku/>
        <w:wordWrap/>
        <w:topLinePunct w:val="0"/>
        <w:bidi w:val="0"/>
        <w:spacing w:line="450" w:lineRule="exact"/>
        <w:jc w:val="center"/>
        <w:rPr>
          <w:rFonts w:hint="eastAsia" w:ascii="宋体" w:hAnsi="宋体" w:eastAsia="宋体" w:cs="宋体"/>
          <w:b/>
          <w:bCs/>
          <w:sz w:val="24"/>
          <w:szCs w:val="24"/>
          <w:highlight w:val="none"/>
        </w:rPr>
      </w:pPr>
      <w:r>
        <w:rPr>
          <w:rFonts w:hint="eastAsia" w:ascii="宋体" w:hAnsi="宋体" w:eastAsia="宋体" w:cs="宋体"/>
          <w:sz w:val="24"/>
          <w:szCs w:val="24"/>
          <w:highlight w:val="none"/>
        </w:rPr>
        <w:t>（本合同为样稿，最终稿由买卖双方协商后确定）</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keepNext w:val="0"/>
        <w:keepLines w:val="0"/>
        <w:pageBreakBefore w:val="0"/>
        <w:kinsoku/>
        <w:wordWrap/>
        <w:topLinePunct w:val="0"/>
        <w:bidi w:val="0"/>
        <w:spacing w:line="450" w:lineRule="exact"/>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keepNext w:val="0"/>
        <w:keepLines w:val="0"/>
        <w:pageBreakBefore w:val="0"/>
        <w:kinsoku/>
        <w:wordWrap/>
        <w:topLinePunct w:val="0"/>
        <w:bidi w:val="0"/>
        <w:spacing w:line="450"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keepNext w:val="0"/>
        <w:keepLines w:val="0"/>
        <w:pageBreakBefore w:val="0"/>
        <w:kinsoku/>
        <w:wordWrap/>
        <w:topLinePunct w:val="0"/>
        <w:bidi w:val="0"/>
        <w:spacing w:line="450" w:lineRule="exact"/>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cs="Times New Roman"/>
          <w:b w:val="0"/>
          <w:color w:val="000000"/>
          <w:spacing w:val="0"/>
          <w:kern w:val="2"/>
          <w:sz w:val="24"/>
          <w:szCs w:val="24"/>
          <w:lang w:val="en-US" w:eastAsia="zh-CN"/>
        </w:rPr>
        <w:t>新建学生公寓家具</w:t>
      </w:r>
      <w:r>
        <w:rPr>
          <w:rFonts w:hint="eastAsia" w:ascii="Times New Roman" w:hAnsi="Times New Roman"/>
          <w:color w:val="000000"/>
          <w:kern w:val="2"/>
        </w:rPr>
        <w:t>一批</w:t>
      </w:r>
      <w:r>
        <w:rPr>
          <w:rFonts w:hint="eastAsia"/>
          <w:color w:val="000000"/>
          <w:kern w:val="2"/>
        </w:rPr>
        <w:t>，经双方协商一致本着平等自愿的原则签订本合同。</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2.</w:t>
      </w:r>
      <w:r>
        <w:rPr>
          <w:rFonts w:hint="eastAsia"/>
          <w:color w:val="000000"/>
          <w:kern w:val="2"/>
        </w:rPr>
        <w:t>招标文件，投标文件，评标文件，乙方的承诺书均为本合同的附件，与本合同具有同等效力，在本合同无约定或约定不明时均按照执行。</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3.</w:t>
      </w:r>
      <w:r>
        <w:rPr>
          <w:rFonts w:hint="eastAsia"/>
          <w:color w:val="000000"/>
          <w:kern w:val="2"/>
        </w:rPr>
        <w:t>乙方履约时应遵循疫情期间相关管理规定。</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keepNext w:val="0"/>
        <w:keepLines w:val="0"/>
        <w:pageBreakBefore w:val="0"/>
        <w:kinsoku/>
        <w:wordWrap/>
        <w:topLinePunct w:val="0"/>
        <w:bidi w:val="0"/>
        <w:spacing w:line="450" w:lineRule="exact"/>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10"/>
              <w:keepNext w:val="0"/>
              <w:keepLines w:val="0"/>
              <w:pageBreakBefore w:val="0"/>
              <w:kinsoku/>
              <w:wordWrap/>
              <w:topLinePunct w:val="0"/>
              <w:bidi w:val="0"/>
              <w:snapToGrid w:val="0"/>
              <w:spacing w:line="450" w:lineRule="exact"/>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10"/>
              <w:keepNext w:val="0"/>
              <w:keepLines w:val="0"/>
              <w:pageBreakBefore w:val="0"/>
              <w:kinsoku/>
              <w:wordWrap/>
              <w:topLinePunct w:val="0"/>
              <w:bidi w:val="0"/>
              <w:snapToGrid w:val="0"/>
              <w:spacing w:line="450" w:lineRule="exact"/>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keepNext w:val="0"/>
              <w:keepLines w:val="0"/>
              <w:pageBreakBefore w:val="0"/>
              <w:kinsoku/>
              <w:wordWrap/>
              <w:topLinePunct w:val="0"/>
              <w:bidi w:val="0"/>
              <w:spacing w:line="450" w:lineRule="exact"/>
              <w:rPr>
                <w:rFonts w:ascii="宋体"/>
                <w:sz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keepNext w:val="0"/>
              <w:keepLines w:val="0"/>
              <w:pageBreakBefore w:val="0"/>
              <w:kinsoku/>
              <w:wordWrap/>
              <w:topLinePunct w:val="0"/>
              <w:bidi w:val="0"/>
              <w:snapToGrid w:val="0"/>
              <w:spacing w:line="450" w:lineRule="exact"/>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10"/>
              <w:keepNext w:val="0"/>
              <w:keepLines w:val="0"/>
              <w:pageBreakBefore w:val="0"/>
              <w:kinsoku/>
              <w:wordWrap/>
              <w:topLinePunct w:val="0"/>
              <w:bidi w:val="0"/>
              <w:snapToGrid w:val="0"/>
              <w:spacing w:line="450" w:lineRule="exact"/>
              <w:rPr>
                <w:rFonts w:hAnsi="宋体"/>
                <w:color w:val="000000"/>
                <w:sz w:val="24"/>
                <w:szCs w:val="24"/>
              </w:rPr>
            </w:pPr>
          </w:p>
        </w:tc>
        <w:tc>
          <w:tcPr>
            <w:tcW w:w="2866" w:type="dxa"/>
            <w:gridSpan w:val="3"/>
            <w:vAlign w:val="center"/>
          </w:tcPr>
          <w:p>
            <w:pPr>
              <w:pStyle w:val="10"/>
              <w:keepNext w:val="0"/>
              <w:keepLines w:val="0"/>
              <w:pageBreakBefore w:val="0"/>
              <w:kinsoku/>
              <w:wordWrap/>
              <w:topLinePunct w:val="0"/>
              <w:bidi w:val="0"/>
              <w:snapToGrid w:val="0"/>
              <w:spacing w:line="450" w:lineRule="exact"/>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keepNext w:val="0"/>
              <w:keepLines w:val="0"/>
              <w:pageBreakBefore w:val="0"/>
              <w:kinsoku/>
              <w:wordWrap/>
              <w:topLinePunct w:val="0"/>
              <w:bidi w:val="0"/>
              <w:snapToGrid w:val="0"/>
              <w:spacing w:line="450" w:lineRule="exact"/>
              <w:jc w:val="both"/>
              <w:rPr>
                <w:rFonts w:hAnsi="宋体"/>
                <w:color w:val="000000"/>
                <w:sz w:val="24"/>
                <w:szCs w:val="24"/>
              </w:rPr>
            </w:pPr>
            <w:r>
              <w:rPr>
                <w:rFonts w:hint="eastAsia" w:hAnsi="宋体"/>
                <w:color w:val="000000"/>
                <w:sz w:val="24"/>
                <w:szCs w:val="24"/>
              </w:rPr>
              <w:t xml:space="preserve">合同总价：（人民币）   </w:t>
            </w:r>
            <w:r>
              <w:rPr>
                <w:rFonts w:hAnsi="宋体"/>
                <w:color w:val="000000"/>
                <w:sz w:val="24"/>
                <w:szCs w:val="24"/>
              </w:rPr>
              <w:t xml:space="preserve">  </w:t>
            </w:r>
            <w:r>
              <w:rPr>
                <w:rFonts w:hint="eastAsia" w:hAnsi="宋体"/>
                <w:color w:val="000000"/>
                <w:sz w:val="24"/>
                <w:szCs w:val="24"/>
              </w:rPr>
              <w:t xml:space="preserve">      ￥：</w:t>
            </w:r>
          </w:p>
        </w:tc>
      </w:tr>
    </w:tbl>
    <w:p>
      <w:pPr>
        <w:pStyle w:val="10"/>
        <w:keepNext w:val="0"/>
        <w:keepLines w:val="0"/>
        <w:pageBreakBefore w:val="0"/>
        <w:kinsoku/>
        <w:wordWrap/>
        <w:topLinePunct w:val="0"/>
        <w:bidi w:val="0"/>
        <w:snapToGrid w:val="0"/>
        <w:spacing w:line="450" w:lineRule="exact"/>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keepNext w:val="0"/>
        <w:keepLines w:val="0"/>
        <w:pageBreakBefore w:val="0"/>
        <w:kinsoku/>
        <w:wordWrap/>
        <w:topLinePunct w:val="0"/>
        <w:bidi w:val="0"/>
        <w:spacing w:line="450" w:lineRule="exact"/>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5"/>
        <w:keepNext w:val="0"/>
        <w:keepLines w:val="0"/>
        <w:pageBreakBefore w:val="0"/>
        <w:widowControl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二、产品条款</w:t>
      </w:r>
    </w:p>
    <w:p>
      <w:pPr>
        <w:pStyle w:val="15"/>
        <w:keepNext w:val="0"/>
        <w:keepLines w:val="0"/>
        <w:pageBreakBefore w:val="0"/>
        <w:widowControl w:val="0"/>
        <w:kinsoku/>
        <w:wordWrap/>
        <w:topLinePunct w:val="0"/>
        <w:bidi w:val="0"/>
        <w:spacing w:before="0" w:beforeAutospacing="0" w:after="0" w:afterAutospacing="0" w:line="450" w:lineRule="exact"/>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5"/>
        <w:keepNext w:val="0"/>
        <w:keepLines w:val="0"/>
        <w:pageBreakBefore w:val="0"/>
        <w:kinsoku/>
        <w:wordWrap/>
        <w:topLinePunct w:val="0"/>
        <w:bidi w:val="0"/>
        <w:spacing w:before="0" w:beforeAutospacing="0" w:after="0" w:afterAutospacing="0" w:line="450" w:lineRule="exact"/>
        <w:ind w:firstLine="482" w:firstLineChars="200"/>
        <w:jc w:val="both"/>
        <w:rPr>
          <w:b/>
          <w:color w:val="000000"/>
          <w:kern w:val="2"/>
        </w:rPr>
      </w:pPr>
      <w:r>
        <w:rPr>
          <w:rFonts w:hint="eastAsia"/>
          <w:b/>
          <w:color w:val="000000"/>
          <w:kern w:val="2"/>
        </w:rPr>
        <w:t>三、通知送达条款</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5"/>
        <w:keepNext w:val="0"/>
        <w:keepLines w:val="0"/>
        <w:pageBreakBefore w:val="0"/>
        <w:kinsoku/>
        <w:wordWrap/>
        <w:topLinePunct w:val="0"/>
        <w:bidi w:val="0"/>
        <w:spacing w:before="0" w:beforeAutospacing="0" w:after="0" w:afterAutospacing="0" w:line="450" w:lineRule="exact"/>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四、质量保证</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int="eastAsia" w:hAnsi="宋体"/>
          <w:b/>
          <w:bCs/>
          <w:color w:val="FF0000"/>
          <w:sz w:val="24"/>
          <w:szCs w:val="24"/>
          <w:highlight w:val="yellow"/>
          <w:lang w:val="en-US" w:eastAsia="zh-CN"/>
        </w:rPr>
        <w:t>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lang w:val="en-US" w:eastAsia="zh-CN"/>
          <w14:textFill>
            <w14:solidFill>
              <w14:schemeClr w14:val="tx1"/>
            </w14:solidFill>
          </w14:textFill>
        </w:rPr>
        <w:t>60</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五、验收</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六、交付时间及地点</w:t>
      </w:r>
    </w:p>
    <w:p>
      <w:pPr>
        <w:pStyle w:val="8"/>
        <w:keepNext w:val="0"/>
        <w:keepLines w:val="0"/>
        <w:pageBreakBefore w:val="0"/>
        <w:tabs>
          <w:tab w:val="left" w:pos="297"/>
        </w:tabs>
        <w:kinsoku/>
        <w:wordWrap/>
        <w:topLinePunct w:val="0"/>
        <w:bidi w:val="0"/>
        <w:spacing w:after="0" w:line="450" w:lineRule="exact"/>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lang w:val="en-US" w:eastAsia="zh-CN"/>
        </w:rPr>
        <w:t>270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w:t>
      </w:r>
      <w:r>
        <w:rPr>
          <w:rFonts w:hint="eastAsia" w:ascii="宋体" w:hAnsi="宋体"/>
          <w:color w:val="000000"/>
          <w:kern w:val="0"/>
          <w:sz w:val="24"/>
          <w:lang w:val="en-US" w:eastAsia="zh-CN"/>
        </w:rPr>
        <w:t>安装</w:t>
      </w:r>
      <w:r>
        <w:rPr>
          <w:rFonts w:hint="eastAsia" w:ascii="宋体" w:hAnsi="宋体"/>
          <w:color w:val="000000"/>
          <w:kern w:val="0"/>
          <w:sz w:val="24"/>
        </w:rPr>
        <w:t>和调试，交付采购方使用。</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8"/>
        <w:keepNext w:val="0"/>
        <w:keepLines w:val="0"/>
        <w:pageBreakBefore w:val="0"/>
        <w:tabs>
          <w:tab w:val="left" w:pos="297"/>
        </w:tabs>
        <w:kinsoku/>
        <w:wordWrap/>
        <w:topLinePunct w:val="0"/>
        <w:bidi w:val="0"/>
        <w:spacing w:after="0" w:line="450" w:lineRule="exact"/>
        <w:ind w:left="0" w:leftChars="0" w:firstLine="482" w:firstLineChars="200"/>
        <w:rPr>
          <w:rFonts w:ascii="宋体"/>
          <w:b/>
          <w:color w:val="000000"/>
          <w:sz w:val="24"/>
        </w:rPr>
      </w:pPr>
      <w:r>
        <w:rPr>
          <w:rFonts w:hint="eastAsia" w:ascii="宋体" w:hAnsi="宋体"/>
          <w:b/>
          <w:color w:val="000000"/>
          <w:sz w:val="24"/>
        </w:rPr>
        <w:t>七、付款方式</w:t>
      </w:r>
    </w:p>
    <w:p>
      <w:pPr>
        <w:pStyle w:val="6"/>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rPr>
          <w:rFonts w:hint="eastAsia" w:ascii="宋体" w:hAnsi="宋体" w:cs="宋体"/>
          <w:color w:val="000000" w:themeColor="text1"/>
          <w:sz w:val="24"/>
          <w:highlight w:val="yellow"/>
          <w:shd w:val="clear" w:color="auto" w:fill="FFFFFF"/>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和银行预付款等额保函</w:t>
      </w:r>
      <w:r>
        <w:rPr>
          <w:rFonts w:hint="eastAsia" w:ascii="宋体" w:hAnsi="宋体" w:cs="宋体"/>
          <w:color w:val="000000" w:themeColor="text1"/>
          <w:sz w:val="24"/>
          <w:highlight w:val="yellow"/>
          <w:shd w:val="clear" w:color="auto" w:fill="FFFFFF"/>
          <w14:textFill>
            <w14:solidFill>
              <w14:schemeClr w14:val="tx1"/>
            </w14:solidFill>
          </w14:textFill>
        </w:rPr>
        <w:t>后10个工作日内支付合同总价的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70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%作为预付款给乙方，第二次在项目完成并运行验收合格并乙方提供发票后10个工作日内支付合同余款,同时全额无息退还乙方的履约保证金。</w:t>
      </w:r>
    </w:p>
    <w:p>
      <w:pPr>
        <w:keepNext w:val="0"/>
        <w:keepLines w:val="0"/>
        <w:pageBreakBefore w:val="0"/>
        <w:kinsoku/>
        <w:wordWrap/>
        <w:topLinePunct w:val="0"/>
        <w:bidi w:val="0"/>
        <w:spacing w:line="450" w:lineRule="exact"/>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keepNext w:val="0"/>
        <w:keepLines w:val="0"/>
        <w:pageBreakBefore w:val="0"/>
        <w:kinsoku/>
        <w:wordWrap/>
        <w:topLinePunct w:val="0"/>
        <w:bidi w:val="0"/>
        <w:spacing w:line="450" w:lineRule="exact"/>
        <w:ind w:firstLine="720" w:firstLineChars="300"/>
        <w:rPr>
          <w:rFonts w:ascii="宋体"/>
          <w:color w:val="000000"/>
          <w:sz w:val="24"/>
        </w:rPr>
      </w:pPr>
      <w:r>
        <w:rPr>
          <w:rFonts w:hint="eastAsia" w:ascii="宋体" w:hAnsi="宋体"/>
          <w:color w:val="000000"/>
          <w:sz w:val="24"/>
        </w:rPr>
        <w:t>乙方银行账户信息：</w:t>
      </w:r>
    </w:p>
    <w:p>
      <w:pPr>
        <w:keepNext w:val="0"/>
        <w:keepLines w:val="0"/>
        <w:pageBreakBefore w:val="0"/>
        <w:kinsoku/>
        <w:wordWrap/>
        <w:topLinePunct w:val="0"/>
        <w:bidi w:val="0"/>
        <w:spacing w:line="450" w:lineRule="exact"/>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keepNext w:val="0"/>
        <w:keepLines w:val="0"/>
        <w:pageBreakBefore w:val="0"/>
        <w:kinsoku/>
        <w:wordWrap/>
        <w:topLinePunct w:val="0"/>
        <w:bidi w:val="0"/>
        <w:spacing w:line="450" w:lineRule="exact"/>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5"/>
        <w:keepNext w:val="0"/>
        <w:keepLines w:val="0"/>
        <w:pageBreakBefore w:val="0"/>
        <w:tabs>
          <w:tab w:val="right" w:pos="8312"/>
        </w:tabs>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八、违约责任</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九、不可抗力事件处理</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十、争议的解决</w:t>
      </w:r>
    </w:p>
    <w:p>
      <w:pPr>
        <w:pStyle w:val="22"/>
        <w:keepNext w:val="0"/>
        <w:keepLines w:val="0"/>
        <w:pageBreakBefore w:val="0"/>
        <w:kinsoku/>
        <w:wordWrap/>
        <w:topLinePunct w:val="0"/>
        <w:bidi w:val="0"/>
        <w:snapToGrid w:val="0"/>
        <w:spacing w:line="450" w:lineRule="exact"/>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十一、合同的生效</w:t>
      </w:r>
    </w:p>
    <w:p>
      <w:pPr>
        <w:pStyle w:val="10"/>
        <w:keepNext w:val="0"/>
        <w:keepLines w:val="0"/>
        <w:pageBreakBefore w:val="0"/>
        <w:kinsoku/>
        <w:wordWrap/>
        <w:topLinePunct w:val="0"/>
        <w:bidi w:val="0"/>
        <w:snapToGrid w:val="0"/>
        <w:spacing w:line="450" w:lineRule="exact"/>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keepNext w:val="0"/>
        <w:keepLines w:val="0"/>
        <w:pageBreakBefore w:val="0"/>
        <w:kinsoku/>
        <w:wordWrap/>
        <w:topLinePunct w:val="0"/>
        <w:bidi w:val="0"/>
        <w:spacing w:line="450" w:lineRule="exact"/>
        <w:rPr>
          <w:rFonts w:hint="eastAsia" w:ascii="宋体" w:hAnsi="宋体"/>
          <w:color w:val="000000"/>
          <w:sz w:val="24"/>
          <w:szCs w:val="22"/>
        </w:rPr>
      </w:pPr>
      <w:r>
        <w:rPr>
          <w:rFonts w:hint="eastAsia" w:ascii="宋体" w:hAnsi="宋体"/>
          <w:color w:val="000000"/>
          <w:sz w:val="24"/>
          <w:szCs w:val="22"/>
        </w:rPr>
        <w:t>　　</w:t>
      </w:r>
    </w:p>
    <w:p>
      <w:pPr>
        <w:keepNext w:val="0"/>
        <w:keepLines w:val="0"/>
        <w:pageBreakBefore w:val="0"/>
        <w:kinsoku/>
        <w:wordWrap/>
        <w:topLinePunct w:val="0"/>
        <w:bidi w:val="0"/>
        <w:spacing w:line="450" w:lineRule="exact"/>
        <w:ind w:firstLine="480" w:firstLineChars="200"/>
        <w:rPr>
          <w:rFonts w:ascii="宋体"/>
          <w:color w:val="000000"/>
          <w:sz w:val="24"/>
          <w:szCs w:val="22"/>
        </w:rPr>
      </w:pPr>
      <w:r>
        <w:rPr>
          <w:rFonts w:hint="eastAsia" w:ascii="宋体" w:hAnsi="宋体"/>
          <w:color w:val="000000"/>
          <w:sz w:val="24"/>
          <w:szCs w:val="22"/>
        </w:rPr>
        <w:t>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keepNext w:val="0"/>
        <w:keepLines w:val="0"/>
        <w:pageBreakBefore w:val="0"/>
        <w:kinsoku/>
        <w:wordWrap/>
        <w:topLinePunct w:val="0"/>
        <w:bidi w:val="0"/>
        <w:spacing w:line="450" w:lineRule="exact"/>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keepNext w:val="0"/>
        <w:keepLines w:val="0"/>
        <w:pageBreakBefore w:val="0"/>
        <w:kinsoku/>
        <w:wordWrap/>
        <w:topLinePunct w:val="0"/>
        <w:bidi w:val="0"/>
        <w:spacing w:line="450" w:lineRule="exact"/>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keepNext w:val="0"/>
        <w:keepLines w:val="0"/>
        <w:pageBreakBefore w:val="0"/>
        <w:kinsoku/>
        <w:wordWrap/>
        <w:topLinePunct w:val="0"/>
        <w:bidi w:val="0"/>
        <w:spacing w:line="450" w:lineRule="exact"/>
        <w:ind w:firstLine="480" w:firstLineChars="200"/>
        <w:jc w:val="left"/>
        <w:rPr>
          <w:rFonts w:hint="eastAsia" w:ascii="宋体" w:hAnsi="宋体"/>
          <w:color w:val="000000"/>
          <w:sz w:val="24"/>
        </w:rPr>
      </w:pPr>
    </w:p>
    <w:p>
      <w:pPr>
        <w:keepNext w:val="0"/>
        <w:keepLines w:val="0"/>
        <w:pageBreakBefore w:val="0"/>
        <w:kinsoku/>
        <w:wordWrap/>
        <w:topLinePunct w:val="0"/>
        <w:bidi w:val="0"/>
        <w:spacing w:line="450" w:lineRule="exact"/>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19"/>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5211360</w:t>
            </w:r>
            <w:r>
              <w:rPr>
                <w:rFonts w:hint="eastAsia" w:ascii="宋体" w:hAnsi="宋体" w:cs="宋体"/>
                <w:b/>
                <w:bCs/>
                <w:szCs w:val="21"/>
              </w:rPr>
              <w:t>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restart"/>
            <w:vAlign w:val="center"/>
          </w:tcPr>
          <w:p>
            <w:pPr>
              <w:widowControl/>
              <w:spacing w:line="360" w:lineRule="auto"/>
              <w:jc w:val="center"/>
              <w:rPr>
                <w:rFonts w:hint="eastAsia"/>
                <w:lang w:eastAsia="zh-CN"/>
              </w:rPr>
            </w:pPr>
            <w:r>
              <w:rPr>
                <w:rFonts w:hint="eastAsia"/>
                <w:lang w:eastAsia="zh-CN"/>
              </w:rPr>
              <w:t>商务</w:t>
            </w:r>
          </w:p>
          <w:p>
            <w:pPr>
              <w:widowControl/>
              <w:spacing w:line="360" w:lineRule="auto"/>
              <w:jc w:val="center"/>
              <w:rPr>
                <w:rFonts w:hint="eastAsia" w:eastAsia="宋体"/>
                <w:lang w:eastAsia="zh-CN"/>
              </w:rPr>
            </w:pPr>
            <w:r>
              <w:rPr>
                <w:rFonts w:hint="eastAsia"/>
                <w:lang w:eastAsia="zh-CN"/>
              </w:rPr>
              <w:t>技术分</w:t>
            </w:r>
          </w:p>
          <w:p>
            <w:pPr>
              <w:pStyle w:val="2"/>
            </w:pPr>
          </w:p>
        </w:tc>
        <w:tc>
          <w:tcPr>
            <w:tcW w:w="1276" w:type="dxa"/>
            <w:vAlign w:val="center"/>
          </w:tcPr>
          <w:p>
            <w:pPr>
              <w:spacing w:line="360" w:lineRule="auto"/>
              <w:jc w:val="center"/>
              <w:rPr>
                <w:rFonts w:hint="default" w:ascii="宋体" w:hAnsi="宋体" w:cs="宋体"/>
                <w:color w:val="000000"/>
                <w:szCs w:val="21"/>
                <w:lang w:val="en-US" w:eastAsia="zh-CN"/>
              </w:rPr>
            </w:pPr>
            <w:r>
              <w:rPr>
                <w:rFonts w:hint="default" w:ascii="宋体" w:hAnsi="宋体" w:cs="宋体"/>
                <w:color w:val="000000"/>
                <w:szCs w:val="21"/>
                <w:lang w:val="en-US" w:eastAsia="zh-CN"/>
              </w:rPr>
              <w:t>资信及从业经验</w:t>
            </w:r>
          </w:p>
        </w:tc>
        <w:tc>
          <w:tcPr>
            <w:tcW w:w="6048" w:type="dxa"/>
            <w:vAlign w:val="center"/>
          </w:tcPr>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r>
              <w:rPr>
                <w:rFonts w:hint="eastAsia" w:ascii="宋体" w:hAnsi="宋体" w:cs="宋体"/>
                <w:color w:val="000000"/>
                <w:szCs w:val="21"/>
              </w:rPr>
              <w:t>投标人的认证证书4分：质量管理体系认证得1分；环境管理体系认证得1分；职业健康安全管理体系认证得1分；CQC环保产品认证或中国环境标志产品（十环）认证得1分。</w:t>
            </w:r>
            <w:r>
              <w:rPr>
                <w:rFonts w:hint="eastAsia" w:ascii="宋体" w:hAnsi="宋体" w:cs="宋体"/>
                <w:color w:val="000000"/>
                <w:szCs w:val="21"/>
                <w:lang w:eastAsia="zh-CN"/>
              </w:rPr>
              <w:t>（</w:t>
            </w:r>
            <w:r>
              <w:rPr>
                <w:rFonts w:hint="eastAsia" w:ascii="宋体" w:hAnsi="宋体" w:cs="宋体"/>
                <w:color w:val="000000"/>
                <w:szCs w:val="21"/>
                <w:lang w:val="en-US" w:eastAsia="zh-CN"/>
              </w:rPr>
              <w:t>0-4分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w:t>
            </w:r>
            <w:r>
              <w:rPr>
                <w:rFonts w:hint="eastAsia" w:ascii="宋体" w:hAnsi="宋体" w:cs="宋体"/>
                <w:color w:val="000000"/>
                <w:szCs w:val="21"/>
              </w:rPr>
              <w:t>投标人自201</w:t>
            </w:r>
            <w:r>
              <w:rPr>
                <w:rFonts w:hint="eastAsia" w:ascii="宋体" w:hAnsi="宋体" w:cs="宋体"/>
                <w:color w:val="000000"/>
                <w:szCs w:val="21"/>
                <w:lang w:val="en-US" w:eastAsia="zh-CN"/>
              </w:rPr>
              <w:t>9</w:t>
            </w:r>
            <w:r>
              <w:rPr>
                <w:rFonts w:hint="eastAsia" w:ascii="宋体" w:hAnsi="宋体" w:cs="宋体"/>
                <w:color w:val="000000"/>
                <w:szCs w:val="21"/>
              </w:rPr>
              <w:t>年1月1日以来至今（以合同签订时间为准）同类项目成功实施案例：每提供一个有效合同原件的扫描件</w:t>
            </w:r>
            <w:r>
              <w:rPr>
                <w:rFonts w:hint="eastAsia" w:ascii="宋体" w:hAnsi="宋体" w:cs="宋体"/>
                <w:color w:val="000000"/>
                <w:szCs w:val="21"/>
                <w:lang w:eastAsia="zh-CN"/>
              </w:rPr>
              <w:t>（须加盖公章）</w:t>
            </w:r>
            <w:r>
              <w:rPr>
                <w:rFonts w:hint="eastAsia" w:ascii="宋体" w:hAnsi="宋体" w:cs="宋体"/>
                <w:color w:val="000000"/>
                <w:szCs w:val="21"/>
              </w:rPr>
              <w:t>得1分</w:t>
            </w:r>
            <w:r>
              <w:rPr>
                <w:rFonts w:hint="eastAsia" w:ascii="宋体" w:hAnsi="宋体" w:cs="宋体"/>
                <w:color w:val="000000"/>
                <w:szCs w:val="21"/>
                <w:lang w:eastAsia="zh-CN"/>
              </w:rPr>
              <w:t>，</w:t>
            </w:r>
            <w:r>
              <w:rPr>
                <w:rFonts w:hint="eastAsia" w:ascii="宋体" w:hAnsi="宋体" w:cs="宋体"/>
                <w:color w:val="000000"/>
                <w:szCs w:val="21"/>
                <w:lang w:val="en-US" w:eastAsia="zh-CN"/>
              </w:rPr>
              <w:t>最多得3分</w:t>
            </w:r>
            <w:r>
              <w:rPr>
                <w:rFonts w:hint="eastAsia" w:ascii="宋体" w:hAnsi="宋体" w:cs="宋体"/>
                <w:color w:val="000000"/>
                <w:szCs w:val="21"/>
              </w:rPr>
              <w:t>。</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bCs/>
                <w:color w:val="FF0000"/>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0-3分</w:t>
            </w:r>
            <w:r>
              <w:rPr>
                <w:rFonts w:hint="eastAsia" w:asciiTheme="minorEastAsia" w:hAnsiTheme="minorEastAsia" w:eastAsiaTheme="minorEastAsia" w:cstheme="minorEastAsia"/>
                <w:color w:val="auto"/>
                <w:szCs w:val="21"/>
                <w:highlight w:val="none"/>
                <w:lang w:eastAsia="zh-CN"/>
              </w:rPr>
              <w:t>）</w:t>
            </w:r>
          </w:p>
        </w:tc>
        <w:tc>
          <w:tcPr>
            <w:tcW w:w="863" w:type="dxa"/>
            <w:vAlign w:val="center"/>
          </w:tcPr>
          <w:p>
            <w:pPr>
              <w:widowControl/>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技术参数</w:t>
            </w:r>
          </w:p>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响应</w:t>
            </w:r>
          </w:p>
        </w:tc>
        <w:tc>
          <w:tcPr>
            <w:tcW w:w="6048" w:type="dxa"/>
            <w:vAlign w:val="center"/>
          </w:tcPr>
          <w:p>
            <w:pPr>
              <w:spacing w:line="360" w:lineRule="auto"/>
              <w:jc w:val="left"/>
              <w:rPr>
                <w:rFonts w:hint="default" w:ascii="宋体" w:hAnsi="宋体" w:eastAsia="宋体" w:cs="宋体"/>
                <w:color w:val="000000"/>
                <w:szCs w:val="21"/>
                <w:lang w:val="en-US" w:eastAsia="zh-CN"/>
              </w:rPr>
            </w:pPr>
            <w:r>
              <w:rPr>
                <w:rFonts w:hint="eastAsia" w:ascii="宋体" w:hAnsi="宋体" w:cs="宋体"/>
                <w:color w:val="000000"/>
                <w:szCs w:val="21"/>
              </w:rPr>
              <w:t>符合明确指标参数得</w:t>
            </w:r>
            <w:r>
              <w:rPr>
                <w:rFonts w:hint="eastAsia" w:ascii="宋体" w:hAnsi="宋体" w:cs="宋体"/>
                <w:color w:val="000000"/>
                <w:szCs w:val="21"/>
                <w:lang w:val="en-US" w:eastAsia="zh-CN"/>
              </w:rPr>
              <w:t>12</w:t>
            </w:r>
            <w:r>
              <w:rPr>
                <w:rFonts w:hint="eastAsia" w:ascii="宋体" w:hAnsi="宋体" w:cs="宋体"/>
                <w:color w:val="000000"/>
                <w:szCs w:val="21"/>
              </w:rPr>
              <w:t>分</w:t>
            </w:r>
            <w:r>
              <w:rPr>
                <w:rFonts w:hint="eastAsia" w:ascii="宋体" w:hAnsi="宋体" w:cs="宋体"/>
                <w:color w:val="000000"/>
                <w:szCs w:val="21"/>
                <w:lang w:eastAsia="zh-CN"/>
              </w:rPr>
              <w:t>，</w:t>
            </w:r>
            <w:r>
              <w:rPr>
                <w:rFonts w:hint="eastAsia" w:ascii="宋体" w:hAnsi="宋体" w:cs="宋体"/>
                <w:color w:val="000000"/>
                <w:szCs w:val="21"/>
                <w:highlight w:val="yellow"/>
                <w:lang w:eastAsia="zh-CN"/>
              </w:rPr>
              <w:t>技术</w:t>
            </w:r>
            <w:r>
              <w:rPr>
                <w:rFonts w:hint="eastAsia" w:ascii="宋体" w:hAnsi="宋体" w:cs="宋体"/>
                <w:color w:val="000000"/>
                <w:szCs w:val="21"/>
                <w:highlight w:val="yellow"/>
              </w:rPr>
              <w:t>指标有负偏离的且评委认为有影响的每项扣</w:t>
            </w:r>
            <w:r>
              <w:rPr>
                <w:rFonts w:hint="eastAsia" w:ascii="宋体" w:hAnsi="宋体" w:cs="宋体"/>
                <w:color w:val="000000"/>
                <w:szCs w:val="21"/>
                <w:highlight w:val="yellow"/>
                <w:lang w:val="en-US" w:eastAsia="zh-CN"/>
              </w:rPr>
              <w:t>1</w:t>
            </w:r>
            <w:r>
              <w:rPr>
                <w:rFonts w:hint="eastAsia" w:ascii="宋体" w:hAnsi="宋体" w:cs="宋体"/>
                <w:color w:val="000000"/>
                <w:szCs w:val="21"/>
                <w:highlight w:val="yellow"/>
              </w:rPr>
              <w:t>分，技术指标属正偏离或高配的且评委认为有意义的，每项加1分。本项最多得</w:t>
            </w:r>
            <w:r>
              <w:rPr>
                <w:rFonts w:hint="eastAsia" w:ascii="宋体" w:hAnsi="宋体" w:cs="宋体"/>
                <w:color w:val="000000"/>
                <w:szCs w:val="21"/>
                <w:highlight w:val="yellow"/>
                <w:lang w:val="en-US" w:eastAsia="zh-CN"/>
              </w:rPr>
              <w:t>15</w:t>
            </w:r>
            <w:r>
              <w:rPr>
                <w:rFonts w:hint="eastAsia" w:ascii="宋体" w:hAnsi="宋体" w:cs="宋体"/>
                <w:color w:val="000000"/>
                <w:szCs w:val="21"/>
                <w:highlight w:val="yellow"/>
              </w:rPr>
              <w:t>分。</w:t>
            </w:r>
            <w:r>
              <w:rPr>
                <w:rFonts w:hint="eastAsia" w:ascii="宋体" w:hAnsi="宋体" w:cs="宋体"/>
                <w:color w:val="000000"/>
                <w:szCs w:val="21"/>
                <w:highlight w:val="yellow"/>
                <w:lang w:eastAsia="zh-CN"/>
              </w:rPr>
              <w:t>（</w:t>
            </w:r>
            <w:r>
              <w:rPr>
                <w:rFonts w:hint="eastAsia" w:ascii="宋体" w:hAnsi="宋体" w:cs="宋体"/>
                <w:color w:val="000000"/>
                <w:szCs w:val="21"/>
                <w:highlight w:val="yellow"/>
                <w:lang w:val="en-US" w:eastAsia="zh-CN"/>
              </w:rPr>
              <w:t>0-15分）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15分</w:t>
            </w:r>
          </w:p>
          <w:p>
            <w:pPr>
              <w:spacing w:line="360" w:lineRule="auto"/>
              <w:jc w:val="center"/>
              <w:rPr>
                <w:rFonts w:hint="default" w:ascii="宋体" w:hAnsi="宋体" w:cs="宋体"/>
                <w:color w:val="000000"/>
                <w:szCs w:val="21"/>
                <w:lang w:val="en-US" w:eastAsia="zh-CN"/>
              </w:rPr>
            </w:pPr>
          </w:p>
          <w:p>
            <w:pPr>
              <w:spacing w:line="360" w:lineRule="auto"/>
              <w:jc w:val="center"/>
              <w:rPr>
                <w:rFonts w:hint="eastAsia" w:ascii="宋体" w:hAnsi="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eastAsia="zh-CN"/>
              </w:rPr>
              <w:t>产品样品</w:t>
            </w:r>
          </w:p>
        </w:tc>
        <w:tc>
          <w:tcPr>
            <w:tcW w:w="6048" w:type="dxa"/>
            <w:vAlign w:val="center"/>
          </w:tcPr>
          <w:p>
            <w:pPr>
              <w:spacing w:line="36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根据样品情况综合评分：</w:t>
            </w:r>
          </w:p>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w:t>
            </w:r>
            <w:r>
              <w:rPr>
                <w:rFonts w:hint="eastAsia" w:ascii="宋体" w:hAnsi="宋体" w:cs="宋体"/>
                <w:color w:val="000000"/>
                <w:szCs w:val="21"/>
              </w:rPr>
              <w:t>外观款式：外观式样（3分），色调搭配合理性及协调性等（3分）。</w:t>
            </w:r>
            <w:r>
              <w:rPr>
                <w:rFonts w:hint="eastAsia" w:ascii="宋体" w:hAnsi="宋体" w:cs="宋体"/>
                <w:color w:val="000000"/>
                <w:szCs w:val="21"/>
                <w:lang w:eastAsia="zh-CN"/>
              </w:rPr>
              <w:t>（</w:t>
            </w:r>
            <w:r>
              <w:rPr>
                <w:rFonts w:hint="eastAsia" w:ascii="宋体" w:hAnsi="宋体" w:cs="宋体"/>
                <w:color w:val="000000"/>
                <w:szCs w:val="21"/>
                <w:lang w:val="en-US" w:eastAsia="zh-CN"/>
              </w:rPr>
              <w:t>0-</w:t>
            </w:r>
            <w:r>
              <w:rPr>
                <w:rFonts w:hint="eastAsia" w:ascii="宋体" w:hAnsi="宋体" w:cs="宋体"/>
                <w:color w:val="000000"/>
                <w:szCs w:val="21"/>
              </w:rPr>
              <w:t>6分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val="en-US" w:eastAsia="zh-CN"/>
              </w:rPr>
              <w:t>.</w:t>
            </w:r>
            <w:r>
              <w:rPr>
                <w:rFonts w:hint="eastAsia" w:ascii="宋体" w:hAnsi="宋体" w:cs="宋体"/>
                <w:color w:val="000000"/>
                <w:szCs w:val="21"/>
              </w:rPr>
              <w:t>制作工艺：结合牢固、严密、平整度（2分），结构合理、使用舒适度（2分），没有明显透胶、鼓泡、凹陷、压痕以及表面划伤、麻点、裂痕、崩角和刃口等（2分）。</w:t>
            </w:r>
            <w:r>
              <w:rPr>
                <w:rFonts w:hint="eastAsia" w:ascii="宋体" w:hAnsi="宋体" w:cs="宋体"/>
                <w:color w:val="000000"/>
                <w:szCs w:val="21"/>
                <w:lang w:eastAsia="zh-CN"/>
              </w:rPr>
              <w:t>（</w:t>
            </w:r>
            <w:r>
              <w:rPr>
                <w:rFonts w:hint="eastAsia" w:ascii="宋体" w:hAnsi="宋体" w:cs="宋体"/>
                <w:color w:val="000000"/>
                <w:szCs w:val="21"/>
                <w:lang w:val="en-US" w:eastAsia="zh-CN"/>
              </w:rPr>
              <w:t>0-</w:t>
            </w:r>
            <w:r>
              <w:rPr>
                <w:rFonts w:hint="eastAsia" w:ascii="宋体" w:hAnsi="宋体" w:cs="宋体"/>
                <w:color w:val="000000"/>
                <w:szCs w:val="21"/>
              </w:rPr>
              <w:t>6分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w:t>
            </w:r>
            <w:r>
              <w:rPr>
                <w:rFonts w:hint="eastAsia" w:ascii="宋体" w:hAnsi="宋体" w:cs="宋体"/>
                <w:color w:val="000000"/>
                <w:szCs w:val="21"/>
              </w:rPr>
              <w:t>油漆涂饰：无刺激性异味（3分）,正视面（包括面板）涂层应平整光滑、清晰（2分），其他部位表面涂层手感应光滑、无明显粒子、涨边和不平整（1分），涂层不得有皱皮、发粘和漏漆现象（2分）。</w:t>
            </w:r>
            <w:r>
              <w:rPr>
                <w:rFonts w:hint="eastAsia" w:ascii="宋体" w:hAnsi="宋体" w:cs="宋体"/>
                <w:color w:val="000000"/>
                <w:szCs w:val="21"/>
                <w:lang w:eastAsia="zh-CN"/>
              </w:rPr>
              <w:t>（</w:t>
            </w:r>
            <w:r>
              <w:rPr>
                <w:rFonts w:hint="eastAsia" w:ascii="宋体" w:hAnsi="宋体" w:cs="宋体"/>
                <w:color w:val="000000"/>
                <w:szCs w:val="21"/>
                <w:lang w:val="en-US" w:eastAsia="zh-CN"/>
              </w:rPr>
              <w:t>0-8</w:t>
            </w:r>
            <w:r>
              <w:rPr>
                <w:rFonts w:hint="eastAsia" w:ascii="宋体" w:hAnsi="宋体" w:cs="宋体"/>
                <w:color w:val="000000"/>
                <w:szCs w:val="21"/>
              </w:rPr>
              <w:t>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lang w:val="en-US" w:eastAsia="zh-CN"/>
              </w:rPr>
              <w:t>.</w:t>
            </w:r>
            <w:r>
              <w:rPr>
                <w:rFonts w:hint="eastAsia" w:ascii="宋体" w:hAnsi="宋体" w:cs="宋体"/>
                <w:color w:val="000000"/>
                <w:szCs w:val="21"/>
              </w:rPr>
              <w:t>材料和五金件：样品所用材料和五金件的品质、等级、效果等。（</w:t>
            </w:r>
            <w:r>
              <w:rPr>
                <w:rFonts w:hint="eastAsia" w:ascii="宋体" w:hAnsi="宋体" w:cs="宋体"/>
                <w:color w:val="000000"/>
                <w:szCs w:val="21"/>
                <w:lang w:val="en-US" w:eastAsia="zh-CN"/>
              </w:rPr>
              <w:t>0-</w:t>
            </w:r>
            <w:r>
              <w:rPr>
                <w:rFonts w:hint="eastAsia" w:ascii="宋体" w:hAnsi="宋体" w:cs="宋体"/>
                <w:color w:val="000000"/>
                <w:szCs w:val="21"/>
              </w:rPr>
              <w:t>3分）</w:t>
            </w:r>
          </w:p>
          <w:p>
            <w:pPr>
              <w:spacing w:line="360" w:lineRule="auto"/>
              <w:jc w:val="left"/>
              <w:rPr>
                <w:rFonts w:hint="eastAsia" w:ascii="宋体" w:hAnsi="宋体" w:cs="宋体"/>
                <w:color w:val="000000"/>
                <w:szCs w:val="21"/>
                <w:lang w:val="en-US" w:eastAsia="zh-CN"/>
              </w:rPr>
            </w:pPr>
            <w:r>
              <w:rPr>
                <w:rFonts w:hint="eastAsia" w:ascii="宋体" w:hAnsi="宋体" w:cs="宋体"/>
                <w:b/>
                <w:bCs/>
                <w:color w:val="000000"/>
                <w:szCs w:val="21"/>
                <w:lang w:val="en-US" w:eastAsia="zh-CN"/>
              </w:rPr>
              <w:t>注：</w:t>
            </w:r>
            <w:r>
              <w:rPr>
                <w:rFonts w:hint="eastAsia" w:ascii="宋体" w:hAnsi="宋体" w:cs="宋体"/>
                <w:b/>
                <w:bCs/>
                <w:color w:val="000000"/>
                <w:szCs w:val="21"/>
              </w:rPr>
              <w:t>如没有提供样品、或样品种类不全、严重偏离样品要求的，该投标人样品分为零分。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产品环保性</w:t>
            </w:r>
          </w:p>
        </w:tc>
        <w:tc>
          <w:tcPr>
            <w:tcW w:w="6048" w:type="dxa"/>
            <w:vAlign w:val="center"/>
          </w:tcPr>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提供产品的相关环评检测报告，评标委员视情况酌情打分。（0-5分）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技术方案</w:t>
            </w:r>
          </w:p>
        </w:tc>
        <w:tc>
          <w:tcPr>
            <w:tcW w:w="6048" w:type="dxa"/>
            <w:vAlign w:val="center"/>
          </w:tcPr>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r>
              <w:rPr>
                <w:rFonts w:hint="eastAsia" w:ascii="宋体" w:hAnsi="宋体" w:cs="宋体"/>
                <w:color w:val="000000"/>
                <w:szCs w:val="21"/>
              </w:rPr>
              <w:t>项目设计方案：根据投标产品的工艺结构图</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、装配图</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、效果图</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综合评定。</w:t>
            </w:r>
            <w:r>
              <w:rPr>
                <w:rFonts w:hint="eastAsia" w:ascii="宋体" w:hAnsi="宋体" w:cs="宋体"/>
                <w:color w:val="000000"/>
                <w:szCs w:val="21"/>
                <w:lang w:eastAsia="zh-CN"/>
              </w:rPr>
              <w:t>（</w:t>
            </w:r>
            <w:r>
              <w:rPr>
                <w:rFonts w:hint="eastAsia" w:ascii="宋体" w:hAnsi="宋体" w:cs="宋体"/>
                <w:color w:val="000000"/>
                <w:szCs w:val="21"/>
                <w:lang w:val="en-US" w:eastAsia="zh-CN"/>
              </w:rPr>
              <w:t>0-5</w:t>
            </w:r>
            <w:r>
              <w:rPr>
                <w:rFonts w:hint="eastAsia" w:ascii="宋体" w:hAnsi="宋体" w:cs="宋体"/>
                <w:color w:val="000000"/>
                <w:szCs w:val="21"/>
              </w:rPr>
              <w:t>分</w:t>
            </w:r>
            <w:r>
              <w:rPr>
                <w:rFonts w:hint="eastAsia" w:ascii="宋体" w:hAnsi="宋体" w:cs="宋体"/>
                <w:color w:val="000000"/>
                <w:szCs w:val="21"/>
                <w:lang w:eastAsia="zh-CN"/>
              </w:rPr>
              <w:t>）</w:t>
            </w:r>
          </w:p>
          <w:p>
            <w:pPr>
              <w:spacing w:line="360" w:lineRule="auto"/>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r>
              <w:rPr>
                <w:rFonts w:hint="eastAsia" w:ascii="宋体" w:hAnsi="宋体" w:cs="宋体"/>
                <w:color w:val="000000"/>
                <w:szCs w:val="21"/>
              </w:rPr>
              <w:t>项目实施方案：根据生产组织</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、生产流程</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、质量保证</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w:t>
            </w:r>
            <w:r>
              <w:rPr>
                <w:rFonts w:hint="eastAsia" w:ascii="宋体" w:hAnsi="宋体" w:cs="宋体"/>
                <w:color w:val="000000"/>
                <w:szCs w:val="21"/>
                <w:lang w:eastAsia="zh-CN"/>
              </w:rPr>
              <w:t>仓储运输（</w:t>
            </w:r>
            <w:r>
              <w:rPr>
                <w:rFonts w:hint="eastAsia" w:ascii="宋体" w:hAnsi="宋体" w:cs="宋体"/>
                <w:color w:val="000000"/>
                <w:szCs w:val="21"/>
                <w:lang w:val="en-US" w:eastAsia="zh-CN"/>
              </w:rPr>
              <w:t>2</w:t>
            </w:r>
            <w:r>
              <w:rPr>
                <w:rFonts w:hint="eastAsia" w:ascii="宋体" w:hAnsi="宋体" w:cs="宋体"/>
                <w:color w:val="000000"/>
                <w:szCs w:val="21"/>
                <w:lang w:eastAsia="zh-CN"/>
              </w:rPr>
              <w:t>）、</w:t>
            </w:r>
            <w:r>
              <w:rPr>
                <w:rFonts w:hint="eastAsia" w:ascii="宋体" w:hAnsi="宋体" w:cs="宋体"/>
                <w:color w:val="000000"/>
                <w:szCs w:val="21"/>
              </w:rPr>
              <w:t>安装措施</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综合评定。</w:t>
            </w:r>
            <w:r>
              <w:rPr>
                <w:rFonts w:hint="eastAsia" w:ascii="宋体" w:hAnsi="宋体" w:cs="宋体"/>
                <w:color w:val="000000"/>
                <w:szCs w:val="21"/>
                <w:lang w:eastAsia="zh-CN"/>
              </w:rPr>
              <w:t>（</w:t>
            </w:r>
            <w:r>
              <w:rPr>
                <w:rFonts w:hint="eastAsia" w:ascii="宋体" w:hAnsi="宋体" w:cs="宋体"/>
                <w:color w:val="000000"/>
                <w:szCs w:val="21"/>
                <w:lang w:val="en-US" w:eastAsia="zh-CN"/>
              </w:rPr>
              <w:t>0-7</w:t>
            </w:r>
            <w:r>
              <w:rPr>
                <w:rFonts w:hint="eastAsia" w:ascii="宋体" w:hAnsi="宋体" w:cs="宋体"/>
                <w:color w:val="000000"/>
                <w:szCs w:val="21"/>
              </w:rPr>
              <w:t>分</w:t>
            </w:r>
            <w:r>
              <w:rPr>
                <w:rFonts w:hint="eastAsia" w:ascii="宋体" w:hAnsi="宋体" w:cs="宋体"/>
                <w:color w:val="000000"/>
                <w:szCs w:val="21"/>
                <w:lang w:eastAsia="zh-CN"/>
              </w:rPr>
              <w:t>）</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服务及承诺</w:t>
            </w:r>
          </w:p>
        </w:tc>
        <w:tc>
          <w:tcPr>
            <w:tcW w:w="6048" w:type="dxa"/>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lang w:eastAsia="zh-CN"/>
              </w:rPr>
              <w:t>质保期：</w:t>
            </w:r>
            <w:r>
              <w:rPr>
                <w:rFonts w:hint="eastAsia" w:ascii="宋体" w:hAnsi="宋体" w:cs="宋体"/>
                <w:color w:val="000000"/>
                <w:szCs w:val="21"/>
              </w:rPr>
              <w:t>质保期超过招标文件要求的，每增加半年得1分，最多3分。（0-3分）</w:t>
            </w:r>
          </w:p>
          <w:p>
            <w:pPr>
              <w:spacing w:line="360" w:lineRule="auto"/>
              <w:jc w:val="left"/>
              <w:rPr>
                <w:rFonts w:hint="eastAsia" w:ascii="宋体" w:hAnsi="宋体" w:cs="宋体"/>
                <w:color w:val="000000"/>
                <w:szCs w:val="21"/>
              </w:rPr>
            </w:pPr>
            <w:r>
              <w:rPr>
                <w:rFonts w:hint="eastAsia" w:ascii="宋体" w:hAnsi="宋体" w:cs="宋体"/>
                <w:color w:val="000000"/>
                <w:szCs w:val="21"/>
                <w:lang w:val="en-US" w:eastAsia="zh-CN"/>
              </w:rPr>
              <w:t>2.服务承诺：售后服务方案、维护人员和服务机构等情况，以及服务承诺的可行性、完整性以及服务承诺落实的保障措施，能及时提供备品备件及备品备件数量，定期巡检服务承诺，对用户服务响应措施情况等。（0-3分）</w:t>
            </w:r>
          </w:p>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3.质保期外的服务承诺：投标人质保期满后的技术支持和维护费用，提供上门维护、升级服务以及给予招标人的各种优惠条件（包括易损备品备件、专用耗材、人工费等）。（0-2分）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8分</w:t>
            </w:r>
          </w:p>
        </w:tc>
      </w:tr>
    </w:tbl>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textAlignment w:val="auto"/>
        <w:rPr>
          <w:b/>
          <w:color w:val="000000"/>
          <w:sz w:val="24"/>
        </w:rPr>
      </w:pPr>
      <w:r>
        <w:rPr>
          <w:b/>
          <w:color w:val="000000"/>
          <w:sz w:val="24"/>
        </w:rPr>
        <w:t>四、开标程序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2.电子投标开标及评审程序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000000"/>
          <w:sz w:val="24"/>
        </w:rPr>
        <w:t>（1）投标截止时间后，投标人登录政采云平台，用“项目采购-开标评标”</w:t>
      </w:r>
      <w:r>
        <w:rPr>
          <w:rFonts w:hint="eastAsia" w:asciiTheme="minorEastAsia" w:hAnsiTheme="minorEastAsia" w:eastAsiaTheme="minorEastAsia" w:cstheme="minorEastAsia"/>
          <w:sz w:val="24"/>
        </w:rPr>
        <w:t>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w:t>
      </w:r>
      <w:r>
        <w:rPr>
          <w:rFonts w:hint="eastAsia" w:ascii="宋体" w:hAnsi="宋体" w:eastAsia="宋体" w:cs="宋体"/>
          <w:b/>
          <w:color w:val="000000"/>
          <w:sz w:val="32"/>
          <w:szCs w:val="32"/>
        </w:rPr>
        <w:t>2</w:t>
      </w:r>
      <w:r>
        <w:rPr>
          <w:rFonts w:hint="eastAsia" w:ascii="宋体" w:hAnsi="宋体" w:eastAsia="宋体" w:cs="宋体"/>
          <w:b/>
          <w:color w:val="000000"/>
          <w:sz w:val="32"/>
          <w:szCs w:val="32"/>
          <w:lang w:val="en-US" w:eastAsia="zh-CN"/>
        </w:rPr>
        <w:t>2</w:t>
      </w:r>
      <w:r>
        <w:rPr>
          <w:rFonts w:hint="eastAsia" w:ascii="宋体" w:hAnsi="宋体" w:eastAsia="宋体" w:cs="宋体"/>
          <w:b/>
          <w:color w:val="000000"/>
          <w:sz w:val="32"/>
          <w:szCs w:val="32"/>
        </w:rPr>
        <w:t>-</w:t>
      </w:r>
      <w:r>
        <w:rPr>
          <w:rFonts w:hint="eastAsia" w:ascii="宋体" w:hAnsi="宋体" w:eastAsia="宋体" w:cs="宋体"/>
          <w:b/>
          <w:color w:val="000000"/>
          <w:sz w:val="32"/>
          <w:szCs w:val="32"/>
          <w:lang w:val="en-US" w:eastAsia="zh-CN"/>
        </w:rPr>
        <w:t>41</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eastAsia="宋体"/>
          <w:b/>
          <w:color w:val="000000"/>
          <w:sz w:val="32"/>
          <w:szCs w:val="32"/>
          <w:lang w:val="en-US" w:eastAsia="zh-CN"/>
        </w:rPr>
        <w:t>新建学生公寓家具</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eastAsia="宋体"/>
          <w:b/>
          <w:color w:val="000000"/>
          <w:sz w:val="32"/>
          <w:szCs w:val="32"/>
          <w:u w:val="single"/>
          <w:lang w:val="en-US" w:eastAsia="zh-CN"/>
        </w:rPr>
        <w:t>新建学生公寓家具</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41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eastAsia="宋体"/>
          <w:b/>
          <w:color w:val="000000"/>
          <w:sz w:val="28"/>
          <w:szCs w:val="28"/>
          <w:u w:val="single"/>
          <w:lang w:val="en-US" w:eastAsia="zh-CN"/>
        </w:rPr>
        <w:t>新建学生公寓家具</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2-41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eastAsia="宋体"/>
          <w:sz w:val="28"/>
          <w:szCs w:val="28"/>
          <w:lang w:val="zh-CN"/>
        </w:rPr>
      </w:pPr>
      <w:r>
        <w:rPr>
          <w:rFonts w:eastAsia="宋体"/>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r>
        <w:rPr>
          <w:rFonts w:hint="eastAsia" w:ascii="宋体" w:hAnsi="宋体" w:cs="宋体"/>
          <w:b/>
          <w:color w:val="000000"/>
          <w:sz w:val="32"/>
          <w:szCs w:val="32"/>
          <w:lang w:val="en-US" w:eastAsia="zh-CN"/>
        </w:rPr>
        <w:t xml:space="preserve">   </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w:t>
      </w:r>
      <w:r>
        <w:rPr>
          <w:rFonts w:hint="eastAsia"/>
          <w:b/>
          <w:bCs/>
          <w:color w:val="000000"/>
          <w:sz w:val="24"/>
          <w:lang w:eastAsia="zh-CN"/>
        </w:rPr>
        <w:t>仓储、</w:t>
      </w:r>
      <w:r>
        <w:rPr>
          <w:b/>
          <w:bCs/>
          <w:color w:val="000000"/>
          <w:sz w:val="24"/>
        </w:rPr>
        <w:t>运输、安装、施工</w:t>
      </w:r>
      <w:r>
        <w:rPr>
          <w:rFonts w:hint="eastAsia"/>
          <w:b/>
          <w:bCs/>
          <w:color w:val="000000"/>
          <w:sz w:val="24"/>
          <w:lang w:eastAsia="zh-CN"/>
        </w:rPr>
        <w:t>、调试、</w:t>
      </w:r>
      <w:r>
        <w:rPr>
          <w:b/>
          <w:bCs/>
          <w:color w:val="000000"/>
          <w:sz w:val="24"/>
        </w:rPr>
        <w:t>售后服务、税费等一切费用</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rFonts w:hint="eastAsia"/>
          <w:b/>
          <w:color w:val="000000"/>
          <w:sz w:val="36"/>
          <w:szCs w:val="36"/>
          <w:lang w:eastAsia="zh-CN"/>
        </w:rPr>
        <w:t>产品</w:t>
      </w:r>
      <w:r>
        <w:rPr>
          <w:b/>
          <w:color w:val="000000"/>
          <w:sz w:val="36"/>
          <w:szCs w:val="36"/>
        </w:rPr>
        <w:t>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rFonts w:hint="eastAsia"/>
                <w:color w:val="000000"/>
                <w:sz w:val="28"/>
                <w:szCs w:val="28"/>
                <w:lang w:eastAsia="zh-CN"/>
              </w:rPr>
            </w:pPr>
            <w:r>
              <w:rPr>
                <w:rFonts w:hint="eastAsia"/>
                <w:color w:val="000000"/>
                <w:sz w:val="28"/>
                <w:szCs w:val="28"/>
                <w:lang w:eastAsia="zh-CN"/>
              </w:rPr>
              <w:t>产品</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rFonts w:hint="eastAsia"/>
                <w:b/>
                <w:bCs/>
                <w:color w:val="000000"/>
                <w:sz w:val="28"/>
                <w:szCs w:val="28"/>
                <w:lang w:eastAsia="zh-CN"/>
              </w:rPr>
              <w:t>产品</w:t>
            </w:r>
            <w:r>
              <w:rPr>
                <w:b/>
                <w:bCs/>
                <w:color w:val="000000"/>
                <w:sz w:val="28"/>
                <w:szCs w:val="28"/>
              </w:rPr>
              <w:t>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rFonts w:hint="eastAsia" w:eastAsia="宋体"/>
                <w:b/>
                <w:bCs/>
                <w:color w:val="000000"/>
                <w:sz w:val="28"/>
                <w:szCs w:val="28"/>
                <w:lang w:eastAsia="zh-CN"/>
              </w:rPr>
            </w:pPr>
            <w:r>
              <w:rPr>
                <w:b/>
                <w:bCs/>
                <w:color w:val="000000"/>
                <w:sz w:val="28"/>
                <w:szCs w:val="28"/>
              </w:rPr>
              <w:t>投标品牌</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pStyle w:val="19"/>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eastAsia="宋体" w:cs="宋体"/>
          <w:b/>
          <w:color w:val="000000"/>
          <w:sz w:val="32"/>
          <w:szCs w:val="32"/>
          <w:lang w:val="zh-CN"/>
        </w:rPr>
        <w:t>项目名称：</w:t>
      </w:r>
      <w:r>
        <w:rPr>
          <w:rFonts w:hint="eastAsia" w:ascii="宋体" w:hAnsi="宋体" w:eastAsia="宋体" w:cs="宋体"/>
          <w:b/>
          <w:color w:val="000000"/>
          <w:sz w:val="32"/>
          <w:szCs w:val="32"/>
          <w:lang w:val="en-US" w:eastAsia="zh-CN"/>
        </w:rPr>
        <w:t>新建学生公寓家具</w:t>
      </w:r>
    </w:p>
    <w:p>
      <w:pPr>
        <w:snapToGrid w:val="0"/>
        <w:spacing w:line="360" w:lineRule="auto"/>
        <w:rPr>
          <w:rFonts w:hint="default" w:eastAsia="宋体"/>
          <w:b/>
          <w:color w:val="000000"/>
          <w:sz w:val="28"/>
          <w:szCs w:val="28"/>
          <w:highlight w:val="yellow"/>
          <w:lang w:val="en-US" w:eastAsia="zh-CN"/>
        </w:rPr>
      </w:pP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w:t>
            </w:r>
            <w:r>
              <w:rPr>
                <w:rFonts w:hint="eastAsia"/>
                <w:color w:val="000000"/>
                <w:kern w:val="0"/>
                <w:sz w:val="28"/>
                <w:szCs w:val="28"/>
                <w:lang w:eastAsia="zh-CN"/>
              </w:rPr>
              <w:t>维修</w:t>
            </w:r>
            <w:r>
              <w:rPr>
                <w:color w:val="000000"/>
                <w:kern w:val="0"/>
                <w:sz w:val="28"/>
                <w:szCs w:val="28"/>
              </w:rPr>
              <w:t>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rFonts w:hint="eastAsia"/>
                <w:color w:val="000000"/>
                <w:kern w:val="0"/>
                <w:sz w:val="28"/>
                <w:szCs w:val="28"/>
                <w:lang w:val="zh-CN"/>
              </w:rPr>
              <w:t>质保期内零配件停产后保证供应情况</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7</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default" w:eastAsia="宋体"/>
                <w:color w:val="000000"/>
                <w:kern w:val="0"/>
                <w:sz w:val="28"/>
                <w:szCs w:val="28"/>
                <w:lang w:val="en-US" w:eastAsia="zh-CN"/>
              </w:rPr>
            </w:pPr>
            <w:r>
              <w:rPr>
                <w:rFonts w:hint="eastAsia"/>
                <w:color w:val="000000"/>
                <w:kern w:val="0"/>
                <w:sz w:val="28"/>
                <w:szCs w:val="28"/>
                <w:lang w:val="en-US" w:eastAsia="zh-CN"/>
              </w:rPr>
              <w:t>8</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rFonts w:hint="eastAsia"/>
                <w:b/>
                <w:bCs/>
                <w:color w:val="000000"/>
                <w:sz w:val="24"/>
                <w:lang w:eastAsia="zh-CN"/>
              </w:rPr>
              <w:t>产品</w:t>
            </w:r>
            <w:r>
              <w:rPr>
                <w:b/>
                <w:bCs/>
                <w:color w:val="000000"/>
                <w:sz w:val="24"/>
              </w:rPr>
              <w:t>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1"/>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F2A8D04A"/>
    <w:multiLevelType w:val="singleLevel"/>
    <w:tmpl w:val="F2A8D04A"/>
    <w:lvl w:ilvl="0" w:tentative="0">
      <w:start w:val="1"/>
      <w:numFmt w:val="chineseCounting"/>
      <w:suff w:val="nothing"/>
      <w:lvlText w:val="%1、"/>
      <w:lvlJc w:val="left"/>
      <w:rPr>
        <w:rFonts w:hint="eastAsia"/>
      </w:r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1D0D1E"/>
    <w:rsid w:val="00BF51DE"/>
    <w:rsid w:val="014A1FC7"/>
    <w:rsid w:val="018B5282"/>
    <w:rsid w:val="01CA39CF"/>
    <w:rsid w:val="022676B2"/>
    <w:rsid w:val="023250CE"/>
    <w:rsid w:val="023D5291"/>
    <w:rsid w:val="02D84C98"/>
    <w:rsid w:val="03B14F9D"/>
    <w:rsid w:val="041A2F36"/>
    <w:rsid w:val="04AC17DF"/>
    <w:rsid w:val="04EF212A"/>
    <w:rsid w:val="05150472"/>
    <w:rsid w:val="051A1DCA"/>
    <w:rsid w:val="05E732EC"/>
    <w:rsid w:val="06017A62"/>
    <w:rsid w:val="06FA0DFD"/>
    <w:rsid w:val="070103DE"/>
    <w:rsid w:val="07490F36"/>
    <w:rsid w:val="09202847"/>
    <w:rsid w:val="09502272"/>
    <w:rsid w:val="09F6548B"/>
    <w:rsid w:val="0A0B7D3D"/>
    <w:rsid w:val="0A490A1F"/>
    <w:rsid w:val="0B3D575C"/>
    <w:rsid w:val="0C712CDF"/>
    <w:rsid w:val="0CA02447"/>
    <w:rsid w:val="0D1475BB"/>
    <w:rsid w:val="0D4A1241"/>
    <w:rsid w:val="0D8633EB"/>
    <w:rsid w:val="0E641029"/>
    <w:rsid w:val="0EAD293C"/>
    <w:rsid w:val="0F4277E5"/>
    <w:rsid w:val="0FCA1D14"/>
    <w:rsid w:val="0FD45998"/>
    <w:rsid w:val="117B39D6"/>
    <w:rsid w:val="11C97D4A"/>
    <w:rsid w:val="125D233B"/>
    <w:rsid w:val="12973B58"/>
    <w:rsid w:val="12CF141E"/>
    <w:rsid w:val="12FF094D"/>
    <w:rsid w:val="13082AF4"/>
    <w:rsid w:val="1373186D"/>
    <w:rsid w:val="13C94031"/>
    <w:rsid w:val="1499564B"/>
    <w:rsid w:val="15453B8B"/>
    <w:rsid w:val="15C25D75"/>
    <w:rsid w:val="15DC61F5"/>
    <w:rsid w:val="165A66D9"/>
    <w:rsid w:val="19B42058"/>
    <w:rsid w:val="19D14EA8"/>
    <w:rsid w:val="1ACB068F"/>
    <w:rsid w:val="1B9E725C"/>
    <w:rsid w:val="1BF956CF"/>
    <w:rsid w:val="1C6A37AE"/>
    <w:rsid w:val="1C730C6D"/>
    <w:rsid w:val="1D49477A"/>
    <w:rsid w:val="1D8F5D32"/>
    <w:rsid w:val="1E8F4121"/>
    <w:rsid w:val="1F157452"/>
    <w:rsid w:val="1F666BD8"/>
    <w:rsid w:val="20361A7A"/>
    <w:rsid w:val="204773A8"/>
    <w:rsid w:val="20941989"/>
    <w:rsid w:val="213276BA"/>
    <w:rsid w:val="21641D70"/>
    <w:rsid w:val="21F52495"/>
    <w:rsid w:val="220F17A9"/>
    <w:rsid w:val="2221328A"/>
    <w:rsid w:val="22260707"/>
    <w:rsid w:val="229121BE"/>
    <w:rsid w:val="22DE5759"/>
    <w:rsid w:val="232D4C3F"/>
    <w:rsid w:val="259721E1"/>
    <w:rsid w:val="25D86F27"/>
    <w:rsid w:val="261031A4"/>
    <w:rsid w:val="270F3FF9"/>
    <w:rsid w:val="273F3187"/>
    <w:rsid w:val="27D36DD5"/>
    <w:rsid w:val="27F37477"/>
    <w:rsid w:val="2801363B"/>
    <w:rsid w:val="28536ACC"/>
    <w:rsid w:val="28771E56"/>
    <w:rsid w:val="29FA7E9C"/>
    <w:rsid w:val="2A2878AC"/>
    <w:rsid w:val="2A66483A"/>
    <w:rsid w:val="2A692293"/>
    <w:rsid w:val="2AF84CD4"/>
    <w:rsid w:val="2C2B3683"/>
    <w:rsid w:val="2CB35C78"/>
    <w:rsid w:val="2CE37E0F"/>
    <w:rsid w:val="2D99286E"/>
    <w:rsid w:val="2E0D6D05"/>
    <w:rsid w:val="2ED40002"/>
    <w:rsid w:val="2F4E35BD"/>
    <w:rsid w:val="2F7753CF"/>
    <w:rsid w:val="2FEF4A3C"/>
    <w:rsid w:val="2FF26266"/>
    <w:rsid w:val="302B05F6"/>
    <w:rsid w:val="324F174E"/>
    <w:rsid w:val="32931F82"/>
    <w:rsid w:val="329A4588"/>
    <w:rsid w:val="32EF78C0"/>
    <w:rsid w:val="3333106F"/>
    <w:rsid w:val="33596B31"/>
    <w:rsid w:val="33E90272"/>
    <w:rsid w:val="34311F18"/>
    <w:rsid w:val="345B5F04"/>
    <w:rsid w:val="34A2508C"/>
    <w:rsid w:val="34AE30A3"/>
    <w:rsid w:val="35310E1F"/>
    <w:rsid w:val="356674DA"/>
    <w:rsid w:val="35DC4E80"/>
    <w:rsid w:val="365550A3"/>
    <w:rsid w:val="36C24BE4"/>
    <w:rsid w:val="36DB4722"/>
    <w:rsid w:val="375C0B95"/>
    <w:rsid w:val="37CB5D1A"/>
    <w:rsid w:val="37CF580A"/>
    <w:rsid w:val="38044D88"/>
    <w:rsid w:val="380F4C60"/>
    <w:rsid w:val="38614082"/>
    <w:rsid w:val="395E5321"/>
    <w:rsid w:val="3995038E"/>
    <w:rsid w:val="39E03F50"/>
    <w:rsid w:val="39F5707E"/>
    <w:rsid w:val="3B0909A0"/>
    <w:rsid w:val="3B6C7E87"/>
    <w:rsid w:val="3B785EAA"/>
    <w:rsid w:val="3C30439E"/>
    <w:rsid w:val="3C6B5EB5"/>
    <w:rsid w:val="3CC76BBD"/>
    <w:rsid w:val="3CD15B81"/>
    <w:rsid w:val="3D2F4407"/>
    <w:rsid w:val="3D3973BC"/>
    <w:rsid w:val="3D3A767E"/>
    <w:rsid w:val="3E0755D2"/>
    <w:rsid w:val="3E6D0C57"/>
    <w:rsid w:val="3EDE5A4F"/>
    <w:rsid w:val="3F2A5A1C"/>
    <w:rsid w:val="3F984734"/>
    <w:rsid w:val="405E3BCF"/>
    <w:rsid w:val="40DE03E6"/>
    <w:rsid w:val="40F77B80"/>
    <w:rsid w:val="411F1F09"/>
    <w:rsid w:val="42C65A5C"/>
    <w:rsid w:val="432E7AD5"/>
    <w:rsid w:val="43860D47"/>
    <w:rsid w:val="43EF09D5"/>
    <w:rsid w:val="449D459A"/>
    <w:rsid w:val="459869FC"/>
    <w:rsid w:val="4698326B"/>
    <w:rsid w:val="477C0DDF"/>
    <w:rsid w:val="490E1470"/>
    <w:rsid w:val="49D36D5D"/>
    <w:rsid w:val="4ABA2A45"/>
    <w:rsid w:val="4B101F6A"/>
    <w:rsid w:val="4B7F2C4C"/>
    <w:rsid w:val="4B8643D0"/>
    <w:rsid w:val="4BF7224E"/>
    <w:rsid w:val="4C746529"/>
    <w:rsid w:val="4CBE0E15"/>
    <w:rsid w:val="4D1A1172"/>
    <w:rsid w:val="4D227D33"/>
    <w:rsid w:val="4D2B6A79"/>
    <w:rsid w:val="4DB422D2"/>
    <w:rsid w:val="4E081DDF"/>
    <w:rsid w:val="4F041DE6"/>
    <w:rsid w:val="4F604B42"/>
    <w:rsid w:val="510734C7"/>
    <w:rsid w:val="51B03431"/>
    <w:rsid w:val="52C04276"/>
    <w:rsid w:val="53416E53"/>
    <w:rsid w:val="53906F4B"/>
    <w:rsid w:val="53A21BCD"/>
    <w:rsid w:val="541E166C"/>
    <w:rsid w:val="54A83213"/>
    <w:rsid w:val="54AA04A4"/>
    <w:rsid w:val="554657A9"/>
    <w:rsid w:val="56AB6FEB"/>
    <w:rsid w:val="56AC0E7F"/>
    <w:rsid w:val="56E85B49"/>
    <w:rsid w:val="57132910"/>
    <w:rsid w:val="57CB7C74"/>
    <w:rsid w:val="57D22764"/>
    <w:rsid w:val="57FA208C"/>
    <w:rsid w:val="581F2161"/>
    <w:rsid w:val="5874426E"/>
    <w:rsid w:val="58D5034F"/>
    <w:rsid w:val="59123351"/>
    <w:rsid w:val="595219A0"/>
    <w:rsid w:val="59741916"/>
    <w:rsid w:val="599B2ECA"/>
    <w:rsid w:val="59CE399A"/>
    <w:rsid w:val="5A843DDB"/>
    <w:rsid w:val="5BBB7CD0"/>
    <w:rsid w:val="5C6658B9"/>
    <w:rsid w:val="5C9F314E"/>
    <w:rsid w:val="5D027074"/>
    <w:rsid w:val="5F482A8F"/>
    <w:rsid w:val="60583D40"/>
    <w:rsid w:val="607E05F0"/>
    <w:rsid w:val="608153D8"/>
    <w:rsid w:val="61225FEB"/>
    <w:rsid w:val="61636F2F"/>
    <w:rsid w:val="621E5480"/>
    <w:rsid w:val="62D84CC4"/>
    <w:rsid w:val="649E173A"/>
    <w:rsid w:val="64A262DB"/>
    <w:rsid w:val="64E63290"/>
    <w:rsid w:val="64FD55A0"/>
    <w:rsid w:val="65693C3E"/>
    <w:rsid w:val="65A71A9A"/>
    <w:rsid w:val="65EF268F"/>
    <w:rsid w:val="66641630"/>
    <w:rsid w:val="674B56F7"/>
    <w:rsid w:val="67696832"/>
    <w:rsid w:val="67CA2FB1"/>
    <w:rsid w:val="67FF5C15"/>
    <w:rsid w:val="681C3547"/>
    <w:rsid w:val="689B7971"/>
    <w:rsid w:val="69F90C23"/>
    <w:rsid w:val="6A575068"/>
    <w:rsid w:val="6A76413E"/>
    <w:rsid w:val="6A7D3756"/>
    <w:rsid w:val="6BE76766"/>
    <w:rsid w:val="6C01305F"/>
    <w:rsid w:val="6D561249"/>
    <w:rsid w:val="6D8A7467"/>
    <w:rsid w:val="6DB36A59"/>
    <w:rsid w:val="6DD519D3"/>
    <w:rsid w:val="6DE61662"/>
    <w:rsid w:val="6E027099"/>
    <w:rsid w:val="6E1A0FC3"/>
    <w:rsid w:val="6E7D2BC3"/>
    <w:rsid w:val="6E970129"/>
    <w:rsid w:val="6ED9723F"/>
    <w:rsid w:val="6EE13AC0"/>
    <w:rsid w:val="6F8578B0"/>
    <w:rsid w:val="6FB6454B"/>
    <w:rsid w:val="70C95159"/>
    <w:rsid w:val="70D94A29"/>
    <w:rsid w:val="719A1329"/>
    <w:rsid w:val="727A5D97"/>
    <w:rsid w:val="72A66B8C"/>
    <w:rsid w:val="72B172DF"/>
    <w:rsid w:val="72BA3660"/>
    <w:rsid w:val="73704280"/>
    <w:rsid w:val="73C02B55"/>
    <w:rsid w:val="73DB0AB8"/>
    <w:rsid w:val="74143FCA"/>
    <w:rsid w:val="743401C8"/>
    <w:rsid w:val="74532196"/>
    <w:rsid w:val="75243D99"/>
    <w:rsid w:val="76F97BE0"/>
    <w:rsid w:val="7A432F13"/>
    <w:rsid w:val="7B2940A0"/>
    <w:rsid w:val="7B332F87"/>
    <w:rsid w:val="7BAE3134"/>
    <w:rsid w:val="7BC462D5"/>
    <w:rsid w:val="7C26489A"/>
    <w:rsid w:val="7CF90D80"/>
    <w:rsid w:val="7D2863F0"/>
    <w:rsid w:val="7DE71E07"/>
    <w:rsid w:val="7E355268"/>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toa heading"/>
    <w:basedOn w:val="1"/>
    <w:next w:val="1"/>
    <w:qFormat/>
    <w:uiPriority w:val="0"/>
    <w:pPr>
      <w:spacing w:before="120"/>
    </w:pPr>
    <w:rPr>
      <w:rFonts w:ascii="Arial" w:hAnsi="Arial"/>
      <w:sz w:val="24"/>
    </w:rPr>
  </w:style>
  <w:style w:type="paragraph" w:styleId="6">
    <w:name w:val="annotation text"/>
    <w:basedOn w:val="1"/>
    <w:qFormat/>
    <w:uiPriority w:val="0"/>
    <w:pPr>
      <w:jc w:val="left"/>
    </w:pPr>
  </w:style>
  <w:style w:type="paragraph" w:styleId="7">
    <w:name w:val="Body Text"/>
    <w:basedOn w:val="1"/>
    <w:qFormat/>
    <w:uiPriority w:val="0"/>
    <w:pPr>
      <w:adjustRightInd w:val="0"/>
      <w:spacing w:after="120" w:line="360" w:lineRule="atLeast"/>
      <w:textAlignment w:val="baseline"/>
    </w:pPr>
    <w:rPr>
      <w:kern w:val="0"/>
      <w:sz w:val="24"/>
      <w:szCs w:val="20"/>
    </w:rPr>
  </w:style>
  <w:style w:type="paragraph" w:styleId="8">
    <w:name w:val="Body Text Indent"/>
    <w:basedOn w:val="1"/>
    <w:next w:val="1"/>
    <w:qFormat/>
    <w:uiPriority w:val="0"/>
    <w:pPr>
      <w:spacing w:after="120"/>
      <w:ind w:left="420" w:leftChars="200"/>
    </w:pPr>
  </w:style>
  <w:style w:type="paragraph" w:styleId="9">
    <w:name w:val="Block Text"/>
    <w:basedOn w:val="1"/>
    <w:qFormat/>
    <w:uiPriority w:val="99"/>
    <w:pPr>
      <w:spacing w:after="120"/>
      <w:ind w:left="1440" w:leftChars="700" w:right="1440" w:rightChars="700"/>
    </w:pPr>
    <w:rPr>
      <w:szCs w:val="22"/>
    </w:rPr>
  </w:style>
  <w:style w:type="paragraph" w:styleId="10">
    <w:name w:val="Plain Text"/>
    <w:basedOn w:val="1"/>
    <w:next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Body Text First Indent 2"/>
    <w:basedOn w:val="8"/>
    <w:next w:val="5"/>
    <w:qFormat/>
    <w:uiPriority w:val="0"/>
    <w:pPr>
      <w:ind w:firstLine="420"/>
    </w:pPr>
    <w:rPr>
      <w:rFonts w:ascii="Calibri" w:hAnsi="Calibri" w:eastAsia="宋体" w:cs="Times New Roman"/>
    </w:rPr>
  </w:style>
  <w:style w:type="paragraph" w:styleId="19">
    <w:name w:val="List Paragraph"/>
    <w:basedOn w:val="1"/>
    <w:qFormat/>
    <w:uiPriority w:val="34"/>
    <w:pPr>
      <w:ind w:firstLine="420" w:firstLineChars="200"/>
    </w:pPr>
  </w:style>
  <w:style w:type="paragraph" w:customStyle="1" w:styleId="20">
    <w:name w:val="表格文字"/>
    <w:basedOn w:val="1"/>
    <w:next w:val="7"/>
    <w:qFormat/>
    <w:uiPriority w:val="0"/>
    <w:pPr>
      <w:adjustRightInd w:val="0"/>
      <w:spacing w:line="420" w:lineRule="atLeast"/>
      <w:textAlignment w:val="baseline"/>
    </w:pPr>
    <w:rPr>
      <w:kern w:val="0"/>
      <w:sz w:val="24"/>
      <w:szCs w:val="20"/>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font01"/>
    <w:basedOn w:val="18"/>
    <w:qFormat/>
    <w:uiPriority w:val="0"/>
    <w:rPr>
      <w:rFonts w:hint="eastAsia" w:ascii="宋体" w:hAnsi="宋体" w:eastAsia="宋体" w:cs="宋体"/>
      <w:color w:val="000000"/>
      <w:sz w:val="25"/>
      <w:szCs w:val="25"/>
      <w:u w:val="none"/>
    </w:rPr>
  </w:style>
  <w:style w:type="paragraph" w:customStyle="1" w:styleId="29">
    <w:name w:val="此正文"/>
    <w:basedOn w:val="1"/>
    <w:qFormat/>
    <w:uiPriority w:val="0"/>
    <w:pPr>
      <w:spacing w:line="360" w:lineRule="auto"/>
      <w:ind w:firstLine="200" w:firstLineChars="200"/>
    </w:pPr>
    <w:rPr>
      <w:sz w:val="24"/>
      <w:szCs w:val="24"/>
    </w:rPr>
  </w:style>
  <w:style w:type="paragraph" w:customStyle="1" w:styleId="30">
    <w:name w:val="Heading #1|1"/>
    <w:basedOn w:val="1"/>
    <w:qFormat/>
    <w:uiPriority w:val="0"/>
    <w:pPr>
      <w:widowControl w:val="0"/>
      <w:shd w:val="clear" w:color="auto" w:fill="auto"/>
      <w:spacing w:before="240" w:after="180"/>
      <w:jc w:val="center"/>
      <w:outlineLvl w:val="0"/>
    </w:pPr>
    <w:rPr>
      <w:rFonts w:ascii="宋体" w:hAnsi="宋体" w:eastAsia="宋体" w:cs="宋体"/>
      <w:sz w:val="36"/>
      <w:szCs w:val="36"/>
      <w:u w:val="none"/>
      <w:shd w:val="clear" w:color="auto" w:fill="auto"/>
      <w:lang w:val="zh-TW" w:eastAsia="zh-TW" w:bidi="zh-TW"/>
    </w:rPr>
  </w:style>
  <w:style w:type="paragraph" w:customStyle="1" w:styleId="31">
    <w:name w:val="Heading #4|1"/>
    <w:basedOn w:val="1"/>
    <w:qFormat/>
    <w:uiPriority w:val="0"/>
    <w:pPr>
      <w:widowControl w:val="0"/>
      <w:shd w:val="clear" w:color="auto" w:fill="auto"/>
      <w:spacing w:after="180"/>
      <w:jc w:val="right"/>
      <w:outlineLvl w:val="3"/>
    </w:pPr>
    <w:rPr>
      <w:b/>
      <w:bCs/>
      <w:color w:val="0170BF"/>
      <w:sz w:val="20"/>
      <w:szCs w:val="20"/>
      <w:u w:val="none"/>
      <w:shd w:val="clear" w:color="auto" w:fill="auto"/>
    </w:rPr>
  </w:style>
  <w:style w:type="paragraph" w:customStyle="1" w:styleId="32">
    <w:name w:val="Body text|1"/>
    <w:basedOn w:val="1"/>
    <w:qFormat/>
    <w:uiPriority w:val="0"/>
    <w:pPr>
      <w:widowControl w:val="0"/>
      <w:shd w:val="clear" w:color="auto" w:fill="auto"/>
      <w:spacing w:after="180" w:line="259" w:lineRule="auto"/>
      <w:ind w:firstLine="400"/>
    </w:pPr>
    <w:rPr>
      <w:rFonts w:ascii="宋体" w:hAnsi="宋体" w:eastAsia="宋体" w:cs="宋体"/>
      <w:sz w:val="18"/>
      <w:szCs w:val="18"/>
      <w:u w:val="none"/>
      <w:shd w:val="clear" w:color="auto" w:fill="auto"/>
      <w:lang w:val="zh-TW" w:eastAsia="zh-TW" w:bidi="zh-TW"/>
    </w:rPr>
  </w:style>
  <w:style w:type="paragraph" w:customStyle="1" w:styleId="33">
    <w:name w:val="Other|1"/>
    <w:basedOn w:val="1"/>
    <w:qFormat/>
    <w:uiPriority w:val="0"/>
    <w:pPr>
      <w:widowControl w:val="0"/>
      <w:shd w:val="clear" w:color="auto" w:fill="auto"/>
      <w:spacing w:after="180" w:line="259" w:lineRule="auto"/>
      <w:ind w:firstLine="400"/>
    </w:pPr>
    <w:rPr>
      <w:rFonts w:ascii="宋体" w:hAnsi="宋体" w:eastAsia="宋体" w:cs="宋体"/>
      <w:sz w:val="18"/>
      <w:szCs w:val="18"/>
      <w:u w:val="none"/>
      <w:shd w:val="clear" w:color="auto" w:fill="auto"/>
      <w:lang w:val="zh-TW" w:eastAsia="zh-TW" w:bidi="zh-TW"/>
    </w:rPr>
  </w:style>
  <w:style w:type="paragraph" w:customStyle="1" w:styleId="34">
    <w:name w:val="Body text|2"/>
    <w:basedOn w:val="1"/>
    <w:qFormat/>
    <w:uiPriority w:val="0"/>
    <w:pPr>
      <w:widowControl w:val="0"/>
      <w:shd w:val="clear" w:color="auto" w:fill="auto"/>
      <w:spacing w:after="140"/>
    </w:pPr>
    <w:rPr>
      <w:rFonts w:ascii="宋体" w:hAnsi="宋体" w:eastAsia="宋体" w:cs="宋体"/>
      <w:sz w:val="18"/>
      <w:szCs w:val="18"/>
      <w:u w:val="none"/>
      <w:shd w:val="clear" w:color="auto" w:fill="auto"/>
      <w:lang w:val="zh-TW" w:eastAsia="zh-TW" w:bidi="zh-TW"/>
    </w:rPr>
  </w:style>
  <w:style w:type="paragraph" w:customStyle="1" w:styleId="35">
    <w:name w:val="Heading #3|1"/>
    <w:basedOn w:val="1"/>
    <w:qFormat/>
    <w:uiPriority w:val="0"/>
    <w:pPr>
      <w:widowControl w:val="0"/>
      <w:shd w:val="clear" w:color="auto" w:fill="auto"/>
      <w:spacing w:after="600"/>
      <w:ind w:firstLine="400"/>
      <w:outlineLvl w:val="2"/>
    </w:pPr>
    <w:rPr>
      <w:i/>
      <w:iCs/>
      <w:color w:val="0170BF"/>
      <w:sz w:val="22"/>
      <w:szCs w:val="22"/>
      <w:u w:val="none"/>
      <w:shd w:val="clear" w:color="auto" w:fill="auto"/>
      <w:lang w:val="zh-TW" w:eastAsia="zh-TW" w:bidi="zh-TW"/>
    </w:rPr>
  </w:style>
  <w:style w:type="paragraph" w:customStyle="1" w:styleId="36">
    <w:name w:val="Heading #2|1"/>
    <w:basedOn w:val="1"/>
    <w:qFormat/>
    <w:uiPriority w:val="0"/>
    <w:pPr>
      <w:widowControl w:val="0"/>
      <w:shd w:val="clear" w:color="auto" w:fill="auto"/>
      <w:spacing w:after="90"/>
      <w:ind w:hanging="400"/>
      <w:outlineLvl w:val="1"/>
    </w:pPr>
    <w:rPr>
      <w:rFonts w:ascii="宋体" w:hAnsi="宋体" w:eastAsia="宋体" w:cs="宋体"/>
      <w:u w:val="none"/>
      <w:shd w:val="clear" w:color="auto" w:fill="auto"/>
      <w:lang w:val="zh-TW" w:eastAsia="zh-TW" w:bidi="zh-TW"/>
    </w:rPr>
  </w:style>
  <w:style w:type="paragraph" w:customStyle="1" w:styleId="37">
    <w:name w:val="Heading #5|1"/>
    <w:basedOn w:val="1"/>
    <w:qFormat/>
    <w:uiPriority w:val="0"/>
    <w:pPr>
      <w:widowControl w:val="0"/>
      <w:shd w:val="clear" w:color="auto" w:fill="auto"/>
      <w:spacing w:after="120"/>
      <w:ind w:left="1860"/>
      <w:outlineLvl w:val="4"/>
    </w:pPr>
    <w:rPr>
      <w:rFonts w:ascii="宋体" w:hAnsi="宋体" w:eastAsia="宋体" w:cs="宋体"/>
      <w:color w:val="0170BF"/>
      <w:sz w:val="20"/>
      <w:szCs w:val="20"/>
      <w:u w:val="none"/>
      <w:shd w:val="clear" w:color="auto" w:fill="auto"/>
      <w:lang w:val="zh-TW" w:eastAsia="zh-TW" w:bidi="zh-TW"/>
    </w:rPr>
  </w:style>
  <w:style w:type="paragraph" w:customStyle="1" w:styleId="3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21886</Words>
  <Characters>23766</Characters>
  <Lines>0</Lines>
  <Paragraphs>0</Paragraphs>
  <TotalTime>50</TotalTime>
  <ScaleCrop>false</ScaleCrop>
  <LinksUpToDate>false</LinksUpToDate>
  <CharactersWithSpaces>25485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我想做个好人</cp:lastModifiedBy>
  <cp:lastPrinted>2022-08-02T02:55:00Z</cp:lastPrinted>
  <dcterms:modified xsi:type="dcterms:W3CDTF">2022-08-08T07:21:57Z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E218309A5DE4429DA03032E78B031BD7</vt:lpwstr>
  </property>
</Properties>
</file>