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keepNext w:val="0"/>
        <w:keepLines w:val="0"/>
        <w:widowControl/>
        <w:suppressLineNumbers w:val="0"/>
        <w:jc w:val="center"/>
        <w:rPr>
          <w:sz w:val="52"/>
          <w:szCs w:val="52"/>
        </w:rPr>
      </w:pPr>
      <w:r>
        <w:rPr>
          <w:rFonts w:hint="eastAsia" w:ascii="宋体" w:hAnsi="宋体" w:eastAsia="宋体" w:cs="宋体"/>
          <w:b/>
          <w:bCs/>
          <w:color w:val="000000"/>
          <w:kern w:val="0"/>
          <w:sz w:val="52"/>
          <w:szCs w:val="52"/>
          <w:lang w:val="en-US" w:eastAsia="zh-CN" w:bidi="ar"/>
        </w:rPr>
        <w:t>图书馆过渡搬迁项目</w:t>
      </w:r>
    </w:p>
    <w:p>
      <w:pPr>
        <w:spacing w:line="1200" w:lineRule="exact"/>
        <w:jc w:val="center"/>
        <w:rPr>
          <w:b/>
          <w:bCs/>
          <w:color w:val="000000"/>
          <w:sz w:val="72"/>
          <w:szCs w:val="72"/>
        </w:rPr>
      </w:pPr>
      <w:r>
        <w:rPr>
          <w:b/>
          <w:bCs/>
          <w:color w:val="000000"/>
          <w:sz w:val="72"/>
          <w:szCs w:val="72"/>
        </w:rPr>
        <w:t>公</w:t>
      </w:r>
    </w:p>
    <w:p>
      <w:pPr>
        <w:spacing w:line="1200" w:lineRule="exact"/>
        <w:jc w:val="center"/>
        <w:rPr>
          <w:b/>
          <w:bCs/>
          <w:color w:val="000000"/>
          <w:sz w:val="72"/>
          <w:szCs w:val="72"/>
        </w:rPr>
      </w:pPr>
      <w:r>
        <w:rPr>
          <w:b/>
          <w:bCs/>
          <w:color w:val="000000"/>
          <w:sz w:val="72"/>
          <w:szCs w:val="72"/>
        </w:rPr>
        <w:t>开</w:t>
      </w:r>
    </w:p>
    <w:p>
      <w:pPr>
        <w:spacing w:line="1200" w:lineRule="exact"/>
        <w:jc w:val="center"/>
        <w:rPr>
          <w:b/>
          <w:bCs/>
          <w:color w:val="000000"/>
          <w:sz w:val="72"/>
          <w:szCs w:val="72"/>
        </w:rPr>
      </w:pPr>
      <w:r>
        <w:rPr>
          <w:b/>
          <w:bCs/>
          <w:color w:val="000000"/>
          <w:sz w:val="72"/>
          <w:szCs w:val="72"/>
        </w:rPr>
        <w:t>招</w:t>
      </w:r>
    </w:p>
    <w:p>
      <w:pPr>
        <w:spacing w:line="1200" w:lineRule="exact"/>
        <w:jc w:val="center"/>
        <w:rPr>
          <w:b/>
          <w:bCs/>
          <w:color w:val="000000"/>
          <w:sz w:val="72"/>
          <w:szCs w:val="72"/>
        </w:rPr>
      </w:pPr>
      <w:r>
        <w:rPr>
          <w:b/>
          <w:bCs/>
          <w:color w:val="000000"/>
          <w:sz w:val="72"/>
          <w:szCs w:val="72"/>
        </w:rPr>
        <w:t>标</w:t>
      </w:r>
    </w:p>
    <w:p>
      <w:pPr>
        <w:spacing w:line="1200" w:lineRule="exact"/>
        <w:jc w:val="center"/>
        <w:rPr>
          <w:b/>
          <w:bCs/>
          <w:color w:val="000000"/>
          <w:sz w:val="72"/>
          <w:szCs w:val="72"/>
        </w:rPr>
      </w:pPr>
      <w:r>
        <w:rPr>
          <w:b/>
          <w:bCs/>
          <w:color w:val="000000"/>
          <w:sz w:val="72"/>
          <w:szCs w:val="72"/>
        </w:rPr>
        <w:t>文</w:t>
      </w:r>
    </w:p>
    <w:p>
      <w:pPr>
        <w:spacing w:line="1200" w:lineRule="exact"/>
        <w:jc w:val="center"/>
        <w:rPr>
          <w:b/>
          <w:bCs/>
          <w:color w:val="000000"/>
          <w:sz w:val="72"/>
        </w:rPr>
      </w:pPr>
      <w:r>
        <w:rPr>
          <w:b/>
          <w:bCs/>
          <w:color w:val="000000"/>
          <w:sz w:val="72"/>
          <w:szCs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2</w:t>
      </w:r>
      <w:r>
        <w:rPr>
          <w:b/>
          <w:bCs/>
          <w:color w:val="000000"/>
          <w:sz w:val="32"/>
        </w:rPr>
        <w:t>年</w:t>
      </w:r>
      <w:r>
        <w:rPr>
          <w:rFonts w:hint="eastAsia"/>
          <w:b/>
          <w:bCs/>
          <w:color w:val="000000"/>
          <w:sz w:val="32"/>
          <w:lang w:val="en-US" w:eastAsia="zh-CN"/>
        </w:rPr>
        <w:t>11</w:t>
      </w:r>
      <w:r>
        <w:rPr>
          <w:b/>
          <w:bCs/>
          <w:color w:val="000000"/>
          <w:sz w:val="32"/>
        </w:rPr>
        <w:t>月</w:t>
      </w:r>
    </w:p>
    <w:p>
      <w:pPr>
        <w:pStyle w:val="11"/>
        <w:spacing w:line="360" w:lineRule="auto"/>
        <w:ind w:left="210" w:leftChars="100"/>
        <w:jc w:val="center"/>
        <w:rPr>
          <w:rFonts w:ascii="Times New Roman" w:eastAsia="宋体"/>
          <w:color w:val="000000"/>
        </w:rPr>
      </w:pPr>
    </w:p>
    <w:p>
      <w:pPr>
        <w:rPr>
          <w:rFonts w:ascii="Times New Roman" w:eastAsia="宋体"/>
          <w:color w:val="000000"/>
        </w:rPr>
      </w:pPr>
    </w:p>
    <w:p>
      <w:pPr>
        <w:pStyle w:val="20"/>
        <w:rPr>
          <w:rFonts w:ascii="Times New Roman" w:eastAsia="宋体"/>
          <w:color w:val="000000"/>
        </w:rPr>
      </w:pPr>
    </w:p>
    <w:p>
      <w:pPr>
        <w:pStyle w:val="20"/>
        <w:rPr>
          <w:rFonts w:ascii="Times New Roman" w:eastAsia="宋体"/>
          <w:color w:val="000000"/>
        </w:rPr>
      </w:pPr>
    </w:p>
    <w:p>
      <w:pPr>
        <w:pStyle w:val="20"/>
        <w:rPr>
          <w:rFonts w:ascii="Times New Roman" w:eastAsia="宋体"/>
          <w:color w:val="000000"/>
        </w:rPr>
      </w:pPr>
    </w:p>
    <w:p>
      <w:pPr>
        <w:pStyle w:val="20"/>
        <w:rPr>
          <w:rFonts w:ascii="Times New Roman" w:eastAsia="宋体"/>
          <w:color w:val="000000"/>
        </w:rPr>
      </w:pPr>
    </w:p>
    <w:p>
      <w:pPr>
        <w:pStyle w:val="20"/>
        <w:rPr>
          <w:rFonts w:ascii="Times New Roman" w:eastAsia="宋体"/>
          <w:color w:val="000000"/>
        </w:rPr>
      </w:pPr>
    </w:p>
    <w:p>
      <w:pPr>
        <w:pStyle w:val="20"/>
        <w:rPr>
          <w:rFonts w:ascii="Times New Roman" w:eastAsia="宋体"/>
          <w:color w:val="000000"/>
        </w:rPr>
      </w:pPr>
    </w:p>
    <w:p>
      <w:pPr>
        <w:pStyle w:val="11"/>
        <w:spacing w:line="360" w:lineRule="auto"/>
        <w:ind w:left="210" w:leftChars="100"/>
        <w:jc w:val="center"/>
        <w:rPr>
          <w:rFonts w:ascii="Times New Roman" w:eastAsia="宋体"/>
          <w:color w:val="000000"/>
        </w:rPr>
      </w:pPr>
    </w:p>
    <w:p>
      <w:pPr>
        <w:pStyle w:val="11"/>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5</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1</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4</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27</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40" w:lineRule="exact"/>
        <w:jc w:val="both"/>
        <w:rPr>
          <w:rFonts w:hint="eastAsia" w:ascii="宋体" w:hAnsi="宋体" w:cs="宋体"/>
          <w:b/>
          <w:bCs/>
          <w:color w:val="000000"/>
          <w:sz w:val="32"/>
        </w:rPr>
      </w:pPr>
    </w:p>
    <w:p>
      <w:pPr>
        <w:spacing w:line="440" w:lineRule="exact"/>
        <w:jc w:val="center"/>
        <w:rPr>
          <w:rFonts w:hint="eastAsia" w:ascii="宋体" w:hAnsi="宋体" w:cs="宋体"/>
          <w:b/>
          <w:bCs/>
          <w:color w:val="000000"/>
          <w:sz w:val="32"/>
        </w:rPr>
      </w:pP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ascii="宋体" w:hAnsi="宋体" w:cs="宋体"/>
          <w:b/>
          <w:color w:val="000000"/>
          <w:sz w:val="24"/>
        </w:rPr>
      </w:pPr>
      <w:r>
        <w:rPr>
          <w:rFonts w:hint="eastAsia" w:ascii="宋体" w:hAnsi="宋体" w:cs="宋体"/>
          <w:bCs/>
          <w:color w:val="000000"/>
          <w:sz w:val="24"/>
        </w:rPr>
        <w:t>根据教学需要，经衢州市财政局审批，现就</w:t>
      </w:r>
      <w:r>
        <w:rPr>
          <w:rFonts w:hint="eastAsia" w:ascii="宋体" w:hAnsi="宋体" w:cs="宋体"/>
          <w:b/>
          <w:bCs w:val="0"/>
          <w:color w:val="000000"/>
          <w:sz w:val="24"/>
        </w:rPr>
        <w:t>衢州学院</w:t>
      </w:r>
      <w:r>
        <w:rPr>
          <w:rFonts w:hint="eastAsia" w:ascii="宋体" w:hAnsi="宋体" w:cs="宋体"/>
          <w:b/>
          <w:bCs w:val="0"/>
          <w:color w:val="000000"/>
          <w:sz w:val="24"/>
          <w:lang w:val="en-US" w:eastAsia="zh-CN"/>
        </w:rPr>
        <w:t>图书馆过渡搬迁项目</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2-58</w:t>
      </w:r>
    </w:p>
    <w:p>
      <w:pPr>
        <w:spacing w:line="440" w:lineRule="exact"/>
        <w:ind w:firstLine="495"/>
        <w:rPr>
          <w:rFonts w:hint="eastAsia" w:ascii="宋体" w:hAnsi="宋体" w:cs="宋体"/>
          <w:bCs/>
          <w:color w:val="000000"/>
          <w:sz w:val="24"/>
          <w:lang w:val="en-US" w:eastAsia="zh-CN"/>
        </w:rPr>
      </w:pPr>
      <w:r>
        <w:rPr>
          <w:rFonts w:hint="eastAsia" w:ascii="宋体" w:hAnsi="宋体" w:cs="宋体"/>
          <w:b/>
          <w:color w:val="000000"/>
          <w:sz w:val="24"/>
        </w:rPr>
        <w:t>二、项目名称：衢州学院</w:t>
      </w:r>
      <w:r>
        <w:rPr>
          <w:rFonts w:hint="eastAsia" w:ascii="宋体" w:hAnsi="宋体" w:cs="宋体"/>
          <w:b/>
          <w:color w:val="000000"/>
          <w:sz w:val="24"/>
          <w:lang w:val="en-US" w:eastAsia="zh-CN"/>
        </w:rPr>
        <w:t>图书馆过渡搬迁项目</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7"/>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lang w:val="en-US" w:eastAsia="zh-CN"/>
              </w:rPr>
              <w:t>标项</w:t>
            </w:r>
            <w:r>
              <w:rPr>
                <w:rFonts w:hint="eastAsia" w:ascii="宋体" w:hAnsi="宋体" w:cs="宋体"/>
                <w:color w:val="000000"/>
                <w:kern w:val="0"/>
                <w:sz w:val="24"/>
              </w:rPr>
              <w:t>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b/>
                <w:bCs w:val="0"/>
                <w:color w:val="000000"/>
                <w:sz w:val="24"/>
                <w:lang w:val="en-US" w:eastAsia="zh-CN"/>
              </w:rPr>
              <w:t>图书及其书架、桌椅搬迁</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color w:val="000000"/>
                <w:kern w:val="0"/>
                <w:sz w:val="24"/>
                <w:highlight w:val="red"/>
                <w:lang w:val="en-US" w:eastAsia="zh-CN"/>
              </w:rPr>
            </w:pPr>
            <w:r>
              <w:rPr>
                <w:rFonts w:hint="eastAsia" w:ascii="宋体" w:hAnsi="宋体" w:cs="宋体"/>
                <w:color w:val="000000"/>
                <w:kern w:val="0"/>
                <w:sz w:val="24"/>
                <w:highlight w:val="none"/>
                <w:lang w:val="en-US" w:eastAsia="zh-CN"/>
              </w:rPr>
              <w:t>120</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widowControl/>
              <w:spacing w:line="440" w:lineRule="exact"/>
              <w:jc w:val="center"/>
              <w:rPr>
                <w:rFonts w:hint="eastAsia" w:ascii="宋体" w:hAnsi="宋体" w:eastAsia="宋体" w:cs="宋体"/>
                <w:color w:val="000000"/>
                <w:highlight w:val="red"/>
                <w:lang w:eastAsia="zh-CN"/>
              </w:rPr>
            </w:pPr>
            <w:r>
              <w:rPr>
                <w:rFonts w:hint="eastAsia" w:ascii="宋体" w:hAnsi="宋体" w:cs="宋体"/>
                <w:color w:val="000000"/>
                <w:sz w:val="24"/>
                <w:lang w:eastAsia="zh-CN"/>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FF0000"/>
          <w:highlight w:val="yellow"/>
        </w:rPr>
        <w:t>供应商为中</w:t>
      </w:r>
      <w:r>
        <w:rPr>
          <w:rFonts w:hint="eastAsia"/>
          <w:color w:val="FF0000"/>
          <w:highlight w:val="yellow"/>
        </w:rPr>
        <w:t>小微企业、监狱或戒毒企业、残疾人福利性单位</w:t>
      </w:r>
      <w:r>
        <w:rPr>
          <w:rFonts w:hint="eastAsia" w:cs="宋体"/>
          <w:color w:val="FF0000"/>
          <w:highlight w:val="yellow"/>
          <w:lang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12</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21</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4"/>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2"/>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b w:val="0"/>
          <w:bCs w:val="0"/>
          <w:color w:val="FF0000"/>
          <w:sz w:val="24"/>
          <w:szCs w:val="24"/>
          <w:highlight w:val="yellow"/>
        </w:rPr>
        <w:t>。</w:t>
      </w:r>
    </w:p>
    <w:p>
      <w:pPr>
        <w:pStyle w:val="14"/>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2</w:t>
      </w:r>
      <w:r>
        <w:rPr>
          <w:rFonts w:hint="eastAsia" w:cs="宋体"/>
          <w:b/>
          <w:bCs/>
          <w:kern w:val="2"/>
        </w:rPr>
        <w:t>年</w:t>
      </w:r>
      <w:r>
        <w:rPr>
          <w:rFonts w:hint="eastAsia" w:cs="宋体"/>
          <w:b/>
          <w:bCs/>
          <w:kern w:val="2"/>
          <w:lang w:val="en-US" w:eastAsia="zh-CN"/>
        </w:rPr>
        <w:t>12</w:t>
      </w:r>
      <w:r>
        <w:rPr>
          <w:rFonts w:hint="eastAsia" w:cs="宋体"/>
          <w:b/>
          <w:bCs/>
          <w:kern w:val="2"/>
        </w:rPr>
        <w:t>月</w:t>
      </w:r>
      <w:r>
        <w:rPr>
          <w:rFonts w:hint="eastAsia" w:cs="宋体"/>
          <w:b/>
          <w:bCs/>
          <w:kern w:val="2"/>
          <w:lang w:val="en-US" w:eastAsia="zh-CN"/>
        </w:rPr>
        <w:t>21</w:t>
      </w:r>
      <w:r>
        <w:rPr>
          <w:rFonts w:hint="eastAsia" w:cs="宋体"/>
          <w:b/>
          <w:bCs/>
          <w:kern w:val="2"/>
        </w:rPr>
        <w:t>日</w:t>
      </w:r>
      <w:r>
        <w:rPr>
          <w:rFonts w:hint="eastAsia" w:cs="宋体"/>
          <w:b/>
          <w:bCs/>
          <w:kern w:val="2"/>
          <w:lang w:val="en-US" w:eastAsia="zh-CN"/>
        </w:rPr>
        <w:t>14:00</w:t>
      </w:r>
      <w:r>
        <w:rPr>
          <w:rFonts w:hint="eastAsia" w:cs="宋体"/>
          <w:b/>
          <w:bCs/>
          <w:kern w:val="2"/>
        </w:rPr>
        <w:t>时（北京时间）</w:t>
      </w:r>
    </w:p>
    <w:p>
      <w:pPr>
        <w:pStyle w:val="10"/>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4"/>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val="en-US" w:eastAsia="zh-CN"/>
        </w:rPr>
        <w:t>图书馆</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val="en-US" w:eastAsia="zh-CN"/>
          <w14:textFill>
            <w14:solidFill>
              <w14:schemeClr w14:val="tx1"/>
            </w14:solidFill>
          </w14:textFill>
        </w:rPr>
        <w:t>陈</w:t>
      </w:r>
      <w:r>
        <w:rPr>
          <w:rFonts w:hint="eastAsia" w:ascii="宋体" w:hAnsi="宋体" w:cs="宋体"/>
          <w:color w:val="000000" w:themeColor="text1"/>
          <w:kern w:val="0"/>
          <w:sz w:val="24"/>
          <w14:textFill>
            <w14:solidFill>
              <w14:schemeClr w14:val="tx1"/>
            </w14:solidFill>
          </w14:textFill>
        </w:rPr>
        <w:t>老师；电话：13567020218</w:t>
      </w:r>
      <w:r>
        <w:rPr>
          <w:rFonts w:hint="eastAsia" w:ascii="宋体" w:hAnsi="宋体" w:cs="宋体"/>
          <w:color w:val="000000" w:themeColor="text1"/>
          <w:kern w:val="0"/>
          <w:sz w:val="24"/>
          <w:lang w:eastAsia="zh-CN"/>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hint="eastAsia" w:ascii="宋体" w:hAnsi="宋体" w:cs="宋体"/>
          <w:bCs/>
          <w:sz w:val="24"/>
        </w:rPr>
      </w:pPr>
      <w:r>
        <w:rPr>
          <w:rFonts w:hint="eastAsia" w:ascii="宋体" w:hAnsi="宋体" w:cs="宋体"/>
          <w:bCs/>
          <w:sz w:val="24"/>
        </w:rPr>
        <w:t>联系人：徐先生；监督投诉电话：0570-8757615，传真：0570-8757615 。</w:t>
      </w:r>
    </w:p>
    <w:p>
      <w:pPr>
        <w:pStyle w:val="2"/>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11</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30</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3.查询记录和证据的留存：信用信息查询记录和证据以网页截图方式留存；</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
                <w:bCs/>
                <w:color w:val="000000"/>
                <w:sz w:val="24"/>
              </w:rPr>
            </w:pPr>
            <w:r>
              <w:rPr>
                <w:rFonts w:hint="eastAsia" w:ascii="宋体" w:hAnsi="宋体" w:cs="宋体"/>
                <w:b/>
                <w:bCs/>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b/>
                <w:bCs/>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37" w:type="dxa"/>
            <w:vAlign w:val="center"/>
          </w:tcPr>
          <w:p>
            <w:pPr>
              <w:spacing w:line="360" w:lineRule="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2.拟投入本项目人员情况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eastAsia="宋体" w:cs="宋体"/>
                <w:color w:val="000000"/>
                <w:kern w:val="2"/>
                <w:sz w:val="24"/>
                <w:szCs w:val="24"/>
                <w:lang w:val="en-US" w:eastAsia="zh-CN" w:bidi="ar-SA"/>
              </w:rPr>
            </w:pPr>
            <w:r>
              <w:rPr>
                <w:rFonts w:hint="eastAsia" w:ascii="宋体" w:hAnsi="宋体" w:cs="宋体"/>
                <w:color w:val="000000"/>
                <w:sz w:val="24"/>
              </w:rPr>
              <w:t>3.图书</w:t>
            </w:r>
            <w:r>
              <w:rPr>
                <w:rFonts w:hint="eastAsia" w:ascii="宋体" w:hAnsi="宋体" w:cs="宋体"/>
                <w:color w:val="000000"/>
                <w:sz w:val="24"/>
                <w:lang w:eastAsia="zh-CN"/>
              </w:rPr>
              <w:t>及书架、阅览桌椅</w:t>
            </w:r>
            <w:r>
              <w:rPr>
                <w:rFonts w:hint="eastAsia" w:ascii="宋体" w:hAnsi="宋体" w:cs="宋体"/>
                <w:color w:val="000000"/>
                <w:sz w:val="24"/>
              </w:rPr>
              <w:t>搬迁实施方案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4.图书保护措施</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5.项目实施计划及进度</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jc w:val="both"/>
              <w:rPr>
                <w:rFonts w:hint="eastAsia" w:ascii="宋体" w:hAnsi="宋体" w:eastAsia="宋体" w:cs="宋体"/>
                <w:b/>
                <w:bCs/>
                <w:color w:val="000000"/>
                <w:kern w:val="2"/>
                <w:sz w:val="32"/>
                <w:szCs w:val="32"/>
                <w:lang w:val="en-US" w:eastAsia="zh-CN" w:bidi="ar-SA"/>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b/>
                <w:bCs/>
                <w:color w:val="000000"/>
                <w:sz w:val="24"/>
              </w:rPr>
              <w:t>.</w:t>
            </w:r>
            <w:r>
              <w:rPr>
                <w:rFonts w:hint="eastAsia" w:ascii="宋体" w:hAnsi="宋体" w:cs="宋体"/>
                <w:color w:val="000000"/>
                <w:sz w:val="24"/>
                <w:lang w:val="zh-CN"/>
              </w:rPr>
              <w:t>质量保障措施和售后服务承诺书</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格式</w:t>
            </w:r>
            <w:r>
              <w:rPr>
                <w:rFonts w:hint="eastAsia" w:ascii="宋体" w:hAnsi="宋体" w:cs="宋体"/>
                <w:color w:val="000000"/>
                <w:sz w:val="24"/>
                <w:lang w:val="en-US" w:eastAsia="zh-CN"/>
              </w:rPr>
              <w:t>六</w:t>
            </w:r>
          </w:p>
        </w:tc>
        <w:tc>
          <w:tcPr>
            <w:tcW w:w="1316"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7</w:t>
            </w:r>
            <w:r>
              <w:rPr>
                <w:rFonts w:hint="eastAsia" w:ascii="宋体" w:hAnsi="宋体" w:cs="宋体"/>
                <w:color w:val="000000"/>
                <w:sz w:val="24"/>
              </w:rPr>
              <w:t>.</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lang w:val="en-US" w:eastAsia="zh-CN"/>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格式</w:t>
            </w:r>
            <w:r>
              <w:rPr>
                <w:rFonts w:hint="eastAsia" w:ascii="宋体" w:hAnsi="宋体" w:cs="宋体"/>
                <w:color w:val="000000"/>
                <w:sz w:val="24"/>
                <w:lang w:val="en-US" w:eastAsia="zh-CN"/>
              </w:rPr>
              <w:t>七</w:t>
            </w:r>
          </w:p>
        </w:tc>
        <w:tc>
          <w:tcPr>
            <w:tcW w:w="1316" w:type="dxa"/>
            <w:vAlign w:val="center"/>
          </w:tcPr>
          <w:p>
            <w:pPr>
              <w:autoSpaceDE w:val="0"/>
              <w:autoSpaceDN w:val="0"/>
              <w:adjustRightInd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9</w:t>
            </w:r>
          </w:p>
        </w:tc>
      </w:tr>
    </w:tbl>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w:t>
            </w:r>
            <w:r>
              <w:rPr>
                <w:rFonts w:hint="eastAsia" w:ascii="宋体" w:hAnsi="宋体" w:eastAsia="宋体" w:cs="宋体"/>
                <w:color w:val="000000" w:themeColor="text1"/>
                <w:kern w:val="2"/>
                <w:sz w:val="24"/>
                <w:szCs w:val="24"/>
                <w:lang w:val="en-US" w:eastAsia="zh-CN" w:bidi="ar-SA"/>
                <w14:textFill>
                  <w14:solidFill>
                    <w14:schemeClr w14:val="tx1"/>
                  </w14:solidFill>
                </w14:textFill>
              </w:rPr>
              <w:t>包括服务费、人工费、保险费、车费及提供服务所需的培训相关费用及各种应纳的税费。</w:t>
            </w:r>
            <w:r>
              <w:rPr>
                <w:rFonts w:hint="eastAsia" w:ascii="宋体" w:hAnsi="宋体" w:cs="宋体"/>
                <w:color w:val="000000"/>
                <w:sz w:val="24"/>
              </w:rPr>
              <w:t>报价单中标明的价格在合同执行过程中是固定不变的，不得以任何理由予以变更。只允许有一个报价，任何有选择的报价将不予接受。</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0"/>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w:t>
            </w:r>
            <w:r>
              <w:rPr>
                <w:rFonts w:hint="eastAsia" w:ascii="宋体" w:hAnsi="宋体" w:cs="宋体"/>
                <w:color w:val="000000"/>
                <w:sz w:val="24"/>
              </w:rPr>
              <w:t>项目清单及报价明细表。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both"/>
              <w:rPr>
                <w:rFonts w:hint="eastAsia" w:ascii="宋体" w:hAnsi="宋体" w:eastAsia="宋体" w:cs="宋体"/>
                <w:sz w:val="24"/>
                <w:lang w:val="en-US" w:eastAsia="zh-CN"/>
              </w:rPr>
            </w:pPr>
            <w:r>
              <w:rPr>
                <w:rFonts w:hint="eastAsia" w:ascii="宋体" w:hAnsi="宋体" w:cs="宋体"/>
                <w:sz w:val="24"/>
              </w:rPr>
              <w:t>格式</w:t>
            </w:r>
            <w:r>
              <w:rPr>
                <w:rFonts w:hint="eastAsia" w:ascii="宋体" w:hAnsi="宋体" w:cs="宋体"/>
                <w:sz w:val="24"/>
                <w:lang w:val="en-US" w:eastAsia="zh-CN"/>
              </w:rPr>
              <w:t>八</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1"/>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outlineLvl w:val="2"/>
        <w:rPr>
          <w:rFonts w:hint="eastAsia"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货、保险，以及安装、调试、培训、全额含税发票、雇员费用、合同实施过程中的应预见和不可预见一切费用。</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5.不同投标人的投标文件相互混装。</w:t>
      </w:r>
    </w:p>
    <w:p>
      <w:pPr>
        <w:keepNext w:val="0"/>
        <w:keepLines w:val="0"/>
        <w:pageBreakBefore w:val="0"/>
        <w:widowControl w:val="0"/>
        <w:kinsoku/>
        <w:wordWrap/>
        <w:overflowPunct/>
        <w:topLinePunct w:val="0"/>
        <w:autoSpaceDE/>
        <w:autoSpaceDN/>
        <w:bidi w:val="0"/>
        <w:adjustRightInd/>
        <w:snapToGrid w:val="0"/>
        <w:spacing w:line="360" w:lineRule="auto"/>
        <w:ind w:firstLine="241" w:firstLineChars="100"/>
        <w:textAlignment w:val="auto"/>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2.出现影响采购公正的违法、违规行为的；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六、履约保证金</w:t>
      </w:r>
    </w:p>
    <w:p>
      <w:pPr>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本项目无需提供履约保证金。</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七、合同授予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1．中标人接到中标通知书后在规定的时间内与招标人签订合同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2．中标人拖延、拒签合同的，将被取消中标资格。</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3．招标文件、澄清文件、投标文件，均为签订合同的依据。</w:t>
      </w:r>
    </w:p>
    <w:p>
      <w:pPr>
        <w:spacing w:line="360" w:lineRule="auto"/>
        <w:ind w:firstLine="482" w:firstLineChars="200"/>
        <w:rPr>
          <w:rFonts w:ascii="宋体" w:hAnsi="宋体" w:cs="宋体"/>
          <w:b/>
          <w:color w:val="000000"/>
          <w:sz w:val="24"/>
        </w:rPr>
      </w:pPr>
      <w:r>
        <w:rPr>
          <w:rFonts w:hint="eastAsia" w:ascii="宋体" w:hAnsi="宋体" w:cs="宋体"/>
          <w:b/>
          <w:bCs/>
          <w:color w:val="000000"/>
          <w:sz w:val="24"/>
          <w:lang w:val="en-US" w:eastAsia="zh-CN"/>
        </w:rPr>
        <w:t>八</w:t>
      </w:r>
      <w:r>
        <w:rPr>
          <w:rFonts w:hint="eastAsia" w:ascii="宋体" w:hAnsi="宋体" w:cs="宋体"/>
          <w:b/>
          <w:bCs/>
          <w:color w:val="000000"/>
          <w:sz w:val="24"/>
        </w:rPr>
        <w:t>、解释权：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lang w:val="en-US" w:eastAsia="zh-CN"/>
        </w:rPr>
        <w:t>九</w:t>
      </w:r>
      <w:r>
        <w:rPr>
          <w:rFonts w:hint="eastAsia" w:ascii="宋体" w:hAnsi="宋体" w:cs="宋体"/>
          <w:b/>
          <w:color w:val="000000"/>
          <w:sz w:val="24"/>
        </w:rPr>
        <w:t>、通讯地址：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lang w:eastAsia="zh-CN"/>
        </w:rPr>
      </w:pPr>
      <w:r>
        <w:rPr>
          <w:rFonts w:hint="eastAsia" w:ascii="宋体" w:hAnsi="宋体" w:cs="宋体"/>
          <w:color w:val="000000"/>
          <w:sz w:val="24"/>
        </w:rPr>
        <w:t>项目技术答疑联系人：</w:t>
      </w:r>
      <w:r>
        <w:rPr>
          <w:rFonts w:hint="eastAsia" w:ascii="宋体" w:hAnsi="宋体" w:cs="宋体"/>
          <w:color w:val="000000"/>
          <w:sz w:val="24"/>
          <w:lang w:val="en-US" w:eastAsia="zh-CN"/>
        </w:rPr>
        <w:t>陈</w:t>
      </w:r>
      <w:r>
        <w:rPr>
          <w:rFonts w:hint="eastAsia" w:ascii="宋体" w:hAnsi="宋体" w:cs="宋体"/>
          <w:color w:val="000000"/>
          <w:sz w:val="24"/>
        </w:rPr>
        <w:t>老师；电话：13567020218</w:t>
      </w:r>
      <w:r>
        <w:rPr>
          <w:rFonts w:hint="eastAsia" w:ascii="宋体" w:hAnsi="宋体" w:cs="宋体"/>
          <w:color w:val="000000"/>
          <w:sz w:val="24"/>
          <w:lang w:eastAsia="zh-CN"/>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rFonts w:hint="default"/>
          <w:b/>
          <w:bCs/>
          <w:color w:val="000000"/>
          <w:sz w:val="24"/>
          <w:lang w:val="en-US"/>
        </w:rPr>
      </w:pPr>
      <w:r>
        <w:rPr>
          <w:b/>
          <w:color w:val="000000"/>
          <w:sz w:val="32"/>
          <w:szCs w:val="32"/>
        </w:rPr>
        <w:t xml:space="preserve">第三章 </w:t>
      </w:r>
      <w:bookmarkEnd w:id="4"/>
      <w:r>
        <w:rPr>
          <w:rFonts w:hint="eastAsia"/>
          <w:b/>
          <w:color w:val="000000"/>
          <w:sz w:val="32"/>
          <w:szCs w:val="32"/>
          <w:lang w:val="en-US" w:eastAsia="zh-CN"/>
        </w:rPr>
        <w:t>采购需求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pStyle w:val="10"/>
        <w:numPr>
          <w:ilvl w:val="0"/>
          <w:numId w:val="2"/>
        </w:numPr>
        <w:spacing w:line="264" w:lineRule="auto"/>
        <w:ind w:firstLine="482" w:firstLineChars="200"/>
        <w:jc w:val="left"/>
        <w:outlineLvl w:val="1"/>
        <w:rPr>
          <w:rFonts w:hint="eastAsia" w:hAnsi="宋体"/>
          <w:b/>
          <w:color w:val="auto"/>
          <w:sz w:val="24"/>
        </w:rPr>
      </w:pPr>
      <w:bookmarkStart w:id="5" w:name="_Toc517352231"/>
      <w:bookmarkStart w:id="6" w:name="_Toc22369"/>
      <w:bookmarkStart w:id="7" w:name="_Toc498414639"/>
      <w:bookmarkStart w:id="8" w:name="_Toc463717495"/>
      <w:r>
        <w:rPr>
          <w:rFonts w:hint="eastAsia" w:hAnsi="宋体"/>
          <w:b/>
          <w:color w:val="auto"/>
          <w:sz w:val="24"/>
        </w:rPr>
        <w:t>项目基本情况</w:t>
      </w:r>
      <w:bookmarkEnd w:id="5"/>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default" w:eastAsia="宋体"/>
          <w:lang w:val="en-US" w:eastAsia="zh-CN"/>
        </w:rPr>
      </w:pPr>
      <w:r>
        <w:rPr>
          <w:rFonts w:hint="eastAsia" w:ascii="宋体" w:hAnsi="宋体" w:eastAsia="宋体" w:cs="宋体"/>
          <w:b w:val="0"/>
          <w:bCs w:val="0"/>
          <w:i w:val="0"/>
          <w:iCs w:val="0"/>
          <w:caps w:val="0"/>
          <w:color w:val="auto"/>
          <w:spacing w:val="0"/>
          <w:kern w:val="0"/>
          <w:sz w:val="24"/>
          <w:szCs w:val="24"/>
          <w:vertAlign w:val="baseline"/>
          <w:lang w:val="en-US" w:eastAsia="zh-CN" w:bidi="ar"/>
        </w:rPr>
        <w:t>为配合图书馆改建施工，加强图书馆资产管理，根据图书馆工作安排，决定对图书馆的图书及其书架、桌椅在馆内进行搬迁(报废物品</w:t>
      </w:r>
      <w:r>
        <w:rPr>
          <w:rFonts w:hint="eastAsia" w:ascii="宋体" w:hAnsi="宋体" w:cs="宋体"/>
          <w:b w:val="0"/>
          <w:bCs w:val="0"/>
          <w:i w:val="0"/>
          <w:iCs w:val="0"/>
          <w:caps w:val="0"/>
          <w:color w:val="auto"/>
          <w:spacing w:val="0"/>
          <w:kern w:val="0"/>
          <w:sz w:val="24"/>
          <w:szCs w:val="24"/>
          <w:vertAlign w:val="baseline"/>
          <w:lang w:val="en-US" w:eastAsia="zh-CN" w:bidi="ar"/>
        </w:rPr>
        <w:t>搬运至校内指定位置）</w:t>
      </w:r>
      <w:r>
        <w:rPr>
          <w:rFonts w:hint="eastAsia" w:ascii="宋体" w:hAnsi="宋体" w:eastAsia="宋体" w:cs="宋体"/>
          <w:b w:val="0"/>
          <w:bCs w:val="0"/>
          <w:i w:val="0"/>
          <w:iCs w:val="0"/>
          <w:caps w:val="0"/>
          <w:color w:val="auto"/>
          <w:spacing w:val="0"/>
          <w:kern w:val="0"/>
          <w:sz w:val="24"/>
          <w:szCs w:val="24"/>
          <w:vertAlign w:val="baseline"/>
          <w:lang w:val="en-US" w:eastAsia="zh-CN" w:bidi="ar"/>
        </w:rPr>
        <w:t>，并整理归位。特安排</w:t>
      </w:r>
      <w:r>
        <w:rPr>
          <w:rFonts w:hint="eastAsia" w:ascii="宋体" w:hAnsi="宋体" w:cs="宋体"/>
          <w:bCs/>
          <w:color w:val="000000"/>
          <w:sz w:val="24"/>
        </w:rPr>
        <w:t>衢州学院</w:t>
      </w:r>
      <w:r>
        <w:rPr>
          <w:rFonts w:hint="eastAsia" w:ascii="宋体" w:hAnsi="宋体" w:cs="宋体"/>
          <w:bCs/>
          <w:color w:val="000000"/>
          <w:sz w:val="24"/>
          <w:lang w:val="en-US" w:eastAsia="zh-CN"/>
        </w:rPr>
        <w:t>图书馆过渡搬迁项目</w:t>
      </w:r>
      <w:r>
        <w:rPr>
          <w:rFonts w:hint="eastAsia" w:ascii="宋体" w:hAnsi="宋体" w:eastAsia="宋体" w:cs="宋体"/>
          <w:b w:val="0"/>
          <w:bCs w:val="0"/>
          <w:i w:val="0"/>
          <w:iCs w:val="0"/>
          <w:caps w:val="0"/>
          <w:color w:val="auto"/>
          <w:spacing w:val="0"/>
          <w:kern w:val="0"/>
          <w:sz w:val="24"/>
          <w:szCs w:val="24"/>
          <w:vertAlign w:val="baseline"/>
          <w:lang w:val="en-US" w:eastAsia="zh-CN" w:bidi="ar"/>
        </w:rPr>
        <w:t>，预算费用</w:t>
      </w:r>
      <w:r>
        <w:rPr>
          <w:rFonts w:hint="eastAsia" w:ascii="宋体" w:hAnsi="宋体" w:cs="宋体"/>
          <w:b w:val="0"/>
          <w:bCs w:val="0"/>
          <w:i w:val="0"/>
          <w:iCs w:val="0"/>
          <w:caps w:val="0"/>
          <w:color w:val="auto"/>
          <w:spacing w:val="0"/>
          <w:kern w:val="0"/>
          <w:sz w:val="24"/>
          <w:szCs w:val="24"/>
          <w:vertAlign w:val="baseline"/>
          <w:lang w:val="en-US" w:eastAsia="zh-CN" w:bidi="ar"/>
        </w:rPr>
        <w:t>120</w:t>
      </w:r>
      <w:r>
        <w:rPr>
          <w:rFonts w:hint="eastAsia" w:ascii="宋体" w:hAnsi="宋体" w:eastAsia="宋体" w:cs="宋体"/>
          <w:b w:val="0"/>
          <w:bCs w:val="0"/>
          <w:i w:val="0"/>
          <w:iCs w:val="0"/>
          <w:caps w:val="0"/>
          <w:color w:val="auto"/>
          <w:spacing w:val="0"/>
          <w:kern w:val="0"/>
          <w:sz w:val="24"/>
          <w:szCs w:val="24"/>
          <w:vertAlign w:val="baseline"/>
          <w:lang w:val="en-US" w:eastAsia="zh-CN" w:bidi="ar"/>
        </w:rPr>
        <w:t>万元。</w:t>
      </w:r>
    </w:p>
    <w:bookmarkEnd w:id="7"/>
    <w:bookmarkEnd w:id="8"/>
    <w:p>
      <w:pPr>
        <w:pStyle w:val="10"/>
        <w:numPr>
          <w:ilvl w:val="0"/>
          <w:numId w:val="2"/>
        </w:numPr>
        <w:spacing w:line="264" w:lineRule="auto"/>
        <w:ind w:left="0" w:leftChars="0" w:firstLine="482" w:firstLineChars="200"/>
        <w:jc w:val="left"/>
        <w:outlineLvl w:val="1"/>
        <w:rPr>
          <w:rFonts w:hint="eastAsia" w:eastAsia="宋体"/>
          <w:lang w:eastAsia="zh-CN"/>
        </w:rPr>
      </w:pPr>
      <w:r>
        <w:rPr>
          <w:rFonts w:hint="eastAsia" w:ascii="宋体" w:hAnsi="宋体" w:eastAsia="宋体" w:cs="Times New Roman"/>
          <w:b/>
          <w:color w:val="auto"/>
          <w:sz w:val="24"/>
          <w:lang w:val="en-US" w:eastAsia="zh-CN"/>
        </w:rPr>
        <w:t>采购内容：</w:t>
      </w:r>
    </w:p>
    <w:p>
      <w:pPr>
        <w:pStyle w:val="6"/>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ascii="宋体" w:hAnsi="宋体" w:eastAsia="宋体" w:cs="宋体"/>
          <w:b w:val="0"/>
          <w:bCs w:val="0"/>
          <w:i w:val="0"/>
          <w:iCs w:val="0"/>
          <w:caps w:val="0"/>
          <w:color w:val="auto"/>
          <w:spacing w:val="0"/>
          <w:kern w:val="0"/>
          <w:sz w:val="24"/>
          <w:szCs w:val="24"/>
          <w:vertAlign w:val="baseline"/>
          <w:lang w:val="en-US" w:eastAsia="zh-CN" w:bidi="ar"/>
        </w:rPr>
        <w:t>1.搬迁内容</w:t>
      </w:r>
    </w:p>
    <w:tbl>
      <w:tblPr>
        <w:tblStyle w:val="17"/>
        <w:tblpPr w:leftFromText="180" w:rightFromText="180" w:vertAnchor="text" w:horzAnchor="page" w:tblpX="1518" w:tblpY="299"/>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1"/>
        <w:gridCol w:w="1844"/>
        <w:gridCol w:w="533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611" w:type="dxa"/>
            <w:shd w:val="clear" w:color="auto" w:fill="FFFFFF"/>
            <w:noWrap w:val="0"/>
            <w:tcMar>
              <w:top w:w="15" w:type="dxa"/>
              <w:left w:w="15" w:type="dxa"/>
              <w:right w:w="15" w:type="dxa"/>
            </w:tcMar>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时段</w:t>
            </w: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项目名称</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具体内容</w:t>
            </w:r>
          </w:p>
        </w:tc>
        <w:tc>
          <w:tcPr>
            <w:tcW w:w="1107" w:type="dxa"/>
            <w:shd w:val="clear" w:color="auto" w:fill="FFFFFF"/>
            <w:noWrap w:val="0"/>
            <w:tcMar>
              <w:top w:w="15" w:type="dxa"/>
              <w:left w:w="15" w:type="dxa"/>
              <w:right w:w="15" w:type="dxa"/>
            </w:tcMar>
            <w:vAlign w:val="center"/>
          </w:tcPr>
          <w:p>
            <w:pPr>
              <w:keepNext w:val="0"/>
              <w:keepLines w:val="0"/>
              <w:widowControl/>
              <w:suppressLineNumbers w:val="0"/>
              <w:tabs>
                <w:tab w:val="left" w:pos="840"/>
              </w:tabs>
              <w:ind w:right="-1092" w:rightChars="-520" w:firstLine="211" w:firstLineChars="100"/>
              <w:jc w:val="both"/>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611" w:type="dxa"/>
            <w:vMerge w:val="restar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第一阶段</w:t>
            </w:r>
            <w:r>
              <w:rPr>
                <w:rFonts w:hint="eastAsia" w:ascii="宋体" w:hAnsi="宋体" w:eastAsia="宋体" w:cs="宋体"/>
                <w:sz w:val="21"/>
                <w:szCs w:val="21"/>
                <w:lang w:val="en-US" w:eastAsia="zh-CN"/>
              </w:rPr>
              <w:t>搬迁</w:t>
            </w:r>
          </w:p>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图书、期刊搬迁1</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Style w:val="33"/>
                <w:rFonts w:hint="eastAsia" w:ascii="宋体" w:hAnsi="宋体" w:eastAsia="宋体" w:cs="宋体"/>
                <w:color w:val="auto"/>
                <w:sz w:val="21"/>
                <w:szCs w:val="21"/>
                <w:lang w:val="en-US" w:eastAsia="zh-CN" w:bidi="ar"/>
              </w:rPr>
              <w:t>1.书籍下架；2.整理打包装封；3.记录编码；4.搬运指定地点；5.各层暂时归堆码齐（底部做好防潮）。</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000000"/>
                <w:kern w:val="0"/>
                <w:sz w:val="21"/>
                <w:szCs w:val="21"/>
                <w:u w:val="none"/>
                <w:lang w:val="en-US" w:eastAsia="zh-CN" w:bidi="ar"/>
              </w:rPr>
              <w:t>57万册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图书、期刊搬迁2</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1.书籍下架；2.整理打包装封；3.记录编码；4.搬运指定地点；5.拆包按编号重新上架；6.卫生统一清理。</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171A1D"/>
                <w:kern w:val="0"/>
                <w:sz w:val="21"/>
                <w:szCs w:val="21"/>
                <w:u w:val="none"/>
                <w:lang w:val="en-US" w:eastAsia="zh-CN" w:bidi="ar"/>
              </w:rPr>
              <w:t>30万册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书架搬迁1</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1.书架拆除；2.搬运指定地点；3.归堆码齐。</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000000"/>
                <w:kern w:val="0"/>
                <w:sz w:val="21"/>
                <w:szCs w:val="21"/>
                <w:u w:val="none"/>
                <w:lang w:val="en-US" w:eastAsia="zh-CN" w:bidi="ar"/>
              </w:rPr>
              <w:t>780节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书架搬迁2</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1.书架拆除；2.搬运指定地点；3.按新场地布局要求重新组装。</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000000"/>
                <w:kern w:val="0"/>
                <w:sz w:val="21"/>
                <w:szCs w:val="21"/>
                <w:u w:val="none"/>
                <w:lang w:val="en-US" w:eastAsia="zh-CN" w:bidi="ar"/>
              </w:rPr>
              <w:t>230节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84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kern w:val="0"/>
                <w:sz w:val="21"/>
                <w:szCs w:val="21"/>
              </w:rPr>
              <w:t>期刊架搬迁1</w:t>
            </w:r>
          </w:p>
        </w:tc>
        <w:tc>
          <w:tcPr>
            <w:tcW w:w="5335" w:type="dxa"/>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kern w:val="0"/>
                <w:sz w:val="21"/>
                <w:szCs w:val="21"/>
              </w:rPr>
              <w:t>期刊架</w:t>
            </w:r>
            <w:r>
              <w:rPr>
                <w:rFonts w:hint="eastAsia" w:ascii="宋体" w:hAnsi="宋体" w:eastAsia="宋体" w:cs="宋体"/>
                <w:color w:val="000000"/>
                <w:kern w:val="0"/>
                <w:sz w:val="21"/>
                <w:szCs w:val="21"/>
              </w:rPr>
              <w:t>搬到指定位置，</w:t>
            </w:r>
            <w:r>
              <w:rPr>
                <w:rFonts w:hint="eastAsia" w:ascii="宋体" w:hAnsi="宋体" w:eastAsia="宋体" w:cs="宋体"/>
                <w:kern w:val="0"/>
                <w:sz w:val="21"/>
                <w:szCs w:val="21"/>
              </w:rPr>
              <w:t>摆放整齐。</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阅览桌椅搬迁1</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阅览桌椅搬到指定位置，堆放整齐。</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171A1D"/>
                <w:kern w:val="0"/>
                <w:sz w:val="21"/>
                <w:szCs w:val="21"/>
                <w:u w:val="none"/>
                <w:lang w:val="en-US" w:eastAsia="zh-CN" w:bidi="ar"/>
              </w:rPr>
              <w:t>310组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铁皮书柜搬迁1</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铁皮书柜搬到指定位置，堆放整齐。</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171A1D"/>
                <w:kern w:val="0"/>
                <w:sz w:val="21"/>
                <w:szCs w:val="21"/>
                <w:u w:val="none"/>
                <w:lang w:val="en-US" w:eastAsia="zh-CN" w:bidi="ar"/>
              </w:rPr>
              <w:t>95组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报废物品搬迁</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书架、书柜等</w:t>
            </w:r>
            <w:r>
              <w:rPr>
                <w:rStyle w:val="33"/>
                <w:rFonts w:hint="eastAsia" w:ascii="宋体" w:hAnsi="宋体" w:eastAsia="宋体" w:cs="宋体"/>
                <w:color w:val="auto"/>
                <w:sz w:val="21"/>
                <w:szCs w:val="21"/>
                <w:lang w:val="en-US" w:eastAsia="zh-CN" w:bidi="ar"/>
              </w:rPr>
              <w:t>报废物品搬到指定位置。</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171A1D"/>
                <w:kern w:val="0"/>
                <w:sz w:val="21"/>
                <w:szCs w:val="21"/>
                <w:u w:val="none"/>
                <w:lang w:val="en-US" w:eastAsia="zh-CN" w:bidi="ar"/>
              </w:rPr>
              <w:t>170组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拼接屏搬迁</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拼接屏、机柜搬到指定位置，做好保护。</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000000"/>
                <w:kern w:val="0"/>
                <w:sz w:val="21"/>
                <w:szCs w:val="21"/>
                <w:u w:val="none"/>
                <w:lang w:val="en-US" w:eastAsia="zh-CN" w:bidi="ar"/>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1" w:type="dxa"/>
            <w:vMerge w:val="restar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第</w:t>
            </w:r>
            <w:r>
              <w:rPr>
                <w:rFonts w:hint="eastAsia" w:ascii="宋体" w:hAnsi="宋体" w:eastAsia="宋体" w:cs="宋体"/>
                <w:sz w:val="21"/>
                <w:szCs w:val="21"/>
                <w:lang w:val="en-US" w:eastAsia="zh-CN"/>
              </w:rPr>
              <w:t>二</w:t>
            </w:r>
            <w:r>
              <w:rPr>
                <w:rFonts w:hint="eastAsia" w:ascii="宋体" w:hAnsi="宋体" w:eastAsia="宋体" w:cs="宋体"/>
                <w:sz w:val="21"/>
                <w:szCs w:val="21"/>
                <w:lang w:val="en-US"/>
              </w:rPr>
              <w:t>阶段</w:t>
            </w:r>
            <w:r>
              <w:rPr>
                <w:rFonts w:hint="eastAsia" w:ascii="宋体" w:hAnsi="宋体" w:eastAsia="宋体" w:cs="宋体"/>
                <w:sz w:val="21"/>
                <w:szCs w:val="21"/>
                <w:lang w:val="en-US" w:eastAsia="zh-CN"/>
              </w:rPr>
              <w:t>搬迁</w:t>
            </w:r>
          </w:p>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171A1D"/>
                <w:kern w:val="0"/>
                <w:sz w:val="21"/>
                <w:szCs w:val="21"/>
                <w:u w:val="none"/>
                <w:lang w:val="en-US" w:eastAsia="zh-CN" w:bidi="ar"/>
              </w:rPr>
              <w:t>图书、期刊搬迁3</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000000"/>
                <w:kern w:val="0"/>
                <w:sz w:val="21"/>
                <w:szCs w:val="21"/>
                <w:u w:val="none"/>
                <w:lang w:val="en-US" w:eastAsia="zh-CN" w:bidi="ar"/>
              </w:rPr>
              <w:t>1.书籍下架；2.整理打包装封；3.记录编码；4.搬运指定地点；5.拆包、细分按编号重新上架；6.卫生统一清理。</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000000"/>
                <w:kern w:val="0"/>
                <w:sz w:val="21"/>
                <w:szCs w:val="21"/>
                <w:u w:val="none"/>
                <w:lang w:val="en-US" w:eastAsia="zh-CN" w:bidi="ar"/>
              </w:rPr>
              <w:t>43万册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171A1D"/>
                <w:kern w:val="0"/>
                <w:sz w:val="21"/>
                <w:szCs w:val="21"/>
                <w:u w:val="none"/>
                <w:lang w:val="en-US" w:eastAsia="zh-CN" w:bidi="ar"/>
              </w:rPr>
              <w:t>图书、期刊搬迁4</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000000"/>
                <w:kern w:val="0"/>
                <w:sz w:val="21"/>
                <w:szCs w:val="21"/>
                <w:u w:val="none"/>
                <w:lang w:val="en-US" w:eastAsia="zh-CN" w:bidi="ar"/>
              </w:rPr>
              <w:t>1.书籍清点；2.搬运指定地点；3.拆包、细分按编号重新上架；4.卫生统一清理。</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171A1D"/>
                <w:kern w:val="0"/>
                <w:sz w:val="21"/>
                <w:szCs w:val="21"/>
                <w:u w:val="none"/>
                <w:lang w:val="en-US" w:eastAsia="zh-CN" w:bidi="ar"/>
              </w:rPr>
              <w:t>57万册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书架搬迁3</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000000"/>
                <w:kern w:val="0"/>
                <w:sz w:val="21"/>
                <w:szCs w:val="21"/>
                <w:u w:val="none"/>
                <w:lang w:val="en-US" w:eastAsia="zh-CN" w:bidi="ar"/>
              </w:rPr>
              <w:t>1.将原拆除书架搬运指定地点；2.重新组装。</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171A1D"/>
                <w:kern w:val="0"/>
                <w:sz w:val="21"/>
                <w:szCs w:val="21"/>
                <w:u w:val="none"/>
                <w:lang w:val="en-US" w:eastAsia="zh-CN" w:bidi="ar"/>
              </w:rPr>
              <w:t>780节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书架搬迁4</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000000"/>
                <w:kern w:val="0"/>
                <w:sz w:val="21"/>
                <w:szCs w:val="21"/>
                <w:u w:val="none"/>
                <w:lang w:val="en-US" w:eastAsia="zh-CN" w:bidi="ar"/>
              </w:rPr>
              <w:t>1.书架拆除；2.搬运指定地点；3.按新场地布局要求重新组装。</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171A1D"/>
                <w:kern w:val="0"/>
                <w:sz w:val="21"/>
                <w:szCs w:val="21"/>
                <w:u w:val="none"/>
                <w:lang w:val="en-US" w:eastAsia="zh-CN" w:bidi="ar"/>
              </w:rPr>
              <w:t>100节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84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rPr>
              <w:t>期刊架搬迁</w:t>
            </w:r>
            <w:r>
              <w:rPr>
                <w:rFonts w:hint="eastAsia" w:ascii="宋体" w:hAnsi="宋体" w:eastAsia="宋体" w:cs="宋体"/>
                <w:kern w:val="0"/>
                <w:sz w:val="21"/>
                <w:szCs w:val="21"/>
                <w:lang w:val="en-US" w:eastAsia="zh-CN"/>
              </w:rPr>
              <w:t>2</w:t>
            </w:r>
          </w:p>
        </w:tc>
        <w:tc>
          <w:tcPr>
            <w:tcW w:w="5335" w:type="dxa"/>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rPr>
              <w:t>期刊架</w:t>
            </w:r>
            <w:r>
              <w:rPr>
                <w:rFonts w:hint="eastAsia" w:ascii="宋体" w:hAnsi="宋体" w:eastAsia="宋体" w:cs="宋体"/>
                <w:color w:val="000000"/>
                <w:kern w:val="0"/>
                <w:sz w:val="21"/>
                <w:szCs w:val="21"/>
              </w:rPr>
              <w:t>搬到指定位置，</w:t>
            </w:r>
            <w:r>
              <w:rPr>
                <w:rFonts w:hint="eastAsia" w:ascii="宋体" w:hAnsi="宋体" w:eastAsia="宋体" w:cs="宋体"/>
                <w:kern w:val="0"/>
                <w:sz w:val="21"/>
                <w:szCs w:val="21"/>
              </w:rPr>
              <w:t>摆放整齐。</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71A1D"/>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171A1D"/>
                <w:kern w:val="0"/>
                <w:sz w:val="21"/>
                <w:szCs w:val="21"/>
                <w:u w:val="none"/>
                <w:lang w:val="en-US" w:eastAsia="zh-CN" w:bidi="ar"/>
              </w:rPr>
              <w:t>阅览桌椅搬迁2</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000000"/>
                <w:kern w:val="0"/>
                <w:sz w:val="21"/>
                <w:szCs w:val="21"/>
                <w:u w:val="none"/>
                <w:lang w:val="en-US" w:eastAsia="zh-CN" w:bidi="ar"/>
              </w:rPr>
              <w:t>阅览桌椅搬到指定位置，</w:t>
            </w:r>
            <w:r>
              <w:rPr>
                <w:rFonts w:hint="eastAsia" w:ascii="宋体" w:hAnsi="宋体" w:eastAsia="宋体" w:cs="宋体"/>
                <w:i w:val="0"/>
                <w:color w:val="auto"/>
                <w:kern w:val="0"/>
                <w:sz w:val="21"/>
                <w:szCs w:val="21"/>
                <w:u w:val="none"/>
                <w:lang w:val="en-US" w:eastAsia="zh-CN" w:bidi="ar"/>
              </w:rPr>
              <w:t>摆放整齐。</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171A1D"/>
                <w:kern w:val="0"/>
                <w:sz w:val="21"/>
                <w:szCs w:val="21"/>
                <w:u w:val="none"/>
                <w:lang w:val="en-US" w:eastAsia="zh-CN" w:bidi="ar"/>
              </w:rPr>
              <w:t>310组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611" w:type="dxa"/>
            <w:vMerge w:val="continue"/>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844"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171A1D"/>
                <w:kern w:val="0"/>
                <w:sz w:val="21"/>
                <w:szCs w:val="21"/>
                <w:u w:val="none"/>
                <w:lang w:val="en-US" w:eastAsia="zh-CN" w:bidi="ar"/>
              </w:rPr>
              <w:t>铁皮书柜搬迁2</w:t>
            </w:r>
          </w:p>
        </w:tc>
        <w:tc>
          <w:tcPr>
            <w:tcW w:w="5335" w:type="dxa"/>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000000"/>
                <w:kern w:val="0"/>
                <w:sz w:val="21"/>
                <w:szCs w:val="21"/>
                <w:u w:val="none"/>
                <w:lang w:val="en-US" w:eastAsia="zh-CN" w:bidi="ar"/>
              </w:rPr>
              <w:t>铁皮书柜搬到指定位置，</w:t>
            </w:r>
            <w:r>
              <w:rPr>
                <w:rFonts w:hint="eastAsia" w:ascii="宋体" w:hAnsi="宋体" w:eastAsia="宋体" w:cs="宋体"/>
                <w:i w:val="0"/>
                <w:color w:val="auto"/>
                <w:kern w:val="0"/>
                <w:sz w:val="21"/>
                <w:szCs w:val="21"/>
                <w:u w:val="none"/>
                <w:lang w:val="en-US" w:eastAsia="zh-CN" w:bidi="ar"/>
              </w:rPr>
              <w:t>摆放整齐。</w:t>
            </w:r>
          </w:p>
        </w:tc>
        <w:tc>
          <w:tcPr>
            <w:tcW w:w="110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171A1D"/>
                <w:kern w:val="0"/>
                <w:sz w:val="21"/>
                <w:szCs w:val="21"/>
                <w:u w:val="none"/>
                <w:lang w:val="en-US" w:eastAsia="zh-CN" w:bidi="ar"/>
              </w:rPr>
              <w:t>95组</w:t>
            </w:r>
          </w:p>
        </w:tc>
      </w:tr>
    </w:tbl>
    <w:p>
      <w:pPr>
        <w:pStyle w:val="2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val="en-US"/>
        </w:rPr>
        <w:t>第一阶段</w:t>
      </w:r>
      <w:r>
        <w:rPr>
          <w:rFonts w:hint="eastAsia" w:ascii="宋体" w:hAnsi="宋体" w:eastAsia="宋体" w:cs="宋体"/>
          <w:lang w:val="en-US" w:eastAsia="zh-CN"/>
        </w:rPr>
        <w:t>搬迁具体位置</w:t>
      </w:r>
    </w:p>
    <w:tbl>
      <w:tblPr>
        <w:tblStyle w:val="18"/>
        <w:tblW w:w="894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3935"/>
        <w:gridCol w:w="2424"/>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85" w:type="dxa"/>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类别</w:t>
            </w:r>
          </w:p>
        </w:tc>
        <w:tc>
          <w:tcPr>
            <w:tcW w:w="3935" w:type="dxa"/>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原存放地及物品</w:t>
            </w:r>
          </w:p>
        </w:tc>
        <w:tc>
          <w:tcPr>
            <w:tcW w:w="2424" w:type="dxa"/>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新存放地</w:t>
            </w:r>
          </w:p>
        </w:tc>
        <w:tc>
          <w:tcPr>
            <w:tcW w:w="1099" w:type="dxa"/>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85"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图书及期刊</w:t>
            </w: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5楼旧书库过刊和未贴标签旧书</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副楼1楼校史馆</w:t>
            </w:r>
          </w:p>
        </w:tc>
        <w:tc>
          <w:tcPr>
            <w:tcW w:w="1099" w:type="dxa"/>
            <w:vAlign w:val="center"/>
          </w:tcPr>
          <w:p>
            <w:pPr>
              <w:jc w:val="both"/>
              <w:rPr>
                <w:rFonts w:hint="eastAsia" w:ascii="宋体" w:hAnsi="宋体" w:eastAsia="宋体" w:cs="宋体"/>
                <w:sz w:val="21"/>
                <w:szCs w:val="21"/>
                <w:vertAlign w:val="baseline"/>
              </w:rPr>
            </w:pPr>
          </w:p>
        </w:tc>
      </w:tr>
      <w:tr>
        <w:tblPrEx>
          <w:tblCellMar>
            <w:top w:w="0" w:type="dxa"/>
            <w:left w:w="108" w:type="dxa"/>
            <w:bottom w:w="0" w:type="dxa"/>
            <w:right w:w="108" w:type="dxa"/>
          </w:tblCellMar>
        </w:tblPrEx>
        <w:trPr>
          <w:trHeight w:val="445"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5楼旧书库已贴标签图书</w:t>
            </w:r>
          </w:p>
        </w:tc>
        <w:tc>
          <w:tcPr>
            <w:tcW w:w="2424"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808 机械制图室</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5楼旧书库宣传部及哲学文化中心图书</w:t>
            </w:r>
          </w:p>
        </w:tc>
        <w:tc>
          <w:tcPr>
            <w:tcW w:w="2424"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802 机械工作室</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4楼综合书库图书</w:t>
            </w:r>
          </w:p>
        </w:tc>
        <w:tc>
          <w:tcPr>
            <w:tcW w:w="2424"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808机械制图室</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4楼工具书库铁柜中需保留图书</w:t>
            </w:r>
          </w:p>
        </w:tc>
        <w:tc>
          <w:tcPr>
            <w:tcW w:w="2424"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713 商学院考研教室</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3楼自然科学一图书</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副楼510化材考研室</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3楼自然科学二图书</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4楼综合书库</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2楼社科一图书</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708 709 711工作室</w:t>
            </w:r>
          </w:p>
        </w:tc>
        <w:tc>
          <w:tcPr>
            <w:tcW w:w="1099" w:type="dxa"/>
            <w:vAlign w:val="center"/>
          </w:tcPr>
          <w:p>
            <w:pPr>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2楼社科二图书</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5楼旧书库</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2楼期刊室期刊</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5楼副楼511及过道</w:t>
            </w:r>
          </w:p>
        </w:tc>
        <w:tc>
          <w:tcPr>
            <w:tcW w:w="1099"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放不下的到803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未加工过刊及现刊</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803 机械工作室</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8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档案</w:t>
            </w: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504中学校暂存档案</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805物业用房</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8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窗帘</w:t>
            </w: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1、2、3楼窗帘及轨道</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805物业用房</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书架及书柜</w:t>
            </w: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2、3楼书架及层板</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约750节堆放7楼大厅</w:t>
            </w:r>
          </w:p>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约250节装4、5楼书库</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vAlign w:val="center"/>
          </w:tcPr>
          <w:p>
            <w:pPr>
              <w:jc w:val="center"/>
              <w:rPr>
                <w:rFonts w:hint="eastAsia" w:ascii="宋体" w:hAnsi="宋体" w:eastAsia="宋体" w:cs="宋体"/>
                <w:sz w:val="21"/>
                <w:szCs w:val="21"/>
                <w:vertAlign w:val="baseline"/>
                <w:lang w:val="en-US" w:eastAsia="zh-CN"/>
              </w:rPr>
            </w:pPr>
          </w:p>
        </w:tc>
        <w:tc>
          <w:tcPr>
            <w:tcW w:w="3935"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4楼书库铁皮书柜</w:t>
            </w:r>
          </w:p>
        </w:tc>
        <w:tc>
          <w:tcPr>
            <w:tcW w:w="2424"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95个放702 703</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85"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阅览桌</w:t>
            </w: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1楼自习厅阅览桌</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副楼1楼校史馆</w:t>
            </w:r>
          </w:p>
        </w:tc>
        <w:tc>
          <w:tcPr>
            <w:tcW w:w="1099" w:type="dxa"/>
            <w:vAlign w:val="center"/>
          </w:tcPr>
          <w:p>
            <w:pPr>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2、3楼书库阅览桌</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199张放7楼大厅</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8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阅览椅</w:t>
            </w: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1、2、3楼阅览椅</w:t>
            </w:r>
          </w:p>
        </w:tc>
        <w:tc>
          <w:tcPr>
            <w:tcW w:w="2424" w:type="dxa"/>
            <w:vAlign w:val="center"/>
          </w:tcPr>
          <w:p>
            <w:pPr>
              <w:jc w:val="both"/>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1224张 放7楼大厅</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85"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办公用品</w:t>
            </w: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203 204 303办公桌</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503 教学督导组</w:t>
            </w:r>
          </w:p>
        </w:tc>
        <w:tc>
          <w:tcPr>
            <w:tcW w:w="1099" w:type="dxa"/>
            <w:vAlign w:val="center"/>
          </w:tcPr>
          <w:p>
            <w:pPr>
              <w:jc w:val="both"/>
              <w:rPr>
                <w:rFonts w:hint="eastAsia" w:ascii="宋体" w:hAnsi="宋体" w:eastAsia="宋体" w:cs="宋体"/>
                <w:sz w:val="21"/>
                <w:szCs w:val="21"/>
                <w:vertAlign w:val="baseline"/>
              </w:rPr>
            </w:pPr>
          </w:p>
        </w:tc>
      </w:tr>
      <w:tr>
        <w:tblPrEx>
          <w:tblCellMar>
            <w:top w:w="0" w:type="dxa"/>
            <w:left w:w="108" w:type="dxa"/>
            <w:bottom w:w="0" w:type="dxa"/>
            <w:right w:w="108" w:type="dxa"/>
          </w:tblCellMar>
        </w:tblPrEx>
        <w:trPr>
          <w:trHeight w:val="445"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504其他杂物及剩余桌椅</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10张504</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3楼会议室</w:t>
            </w:r>
          </w:p>
        </w:tc>
        <w:tc>
          <w:tcPr>
            <w:tcW w:w="2424"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会议桌不宜搬动</w:t>
            </w:r>
          </w:p>
        </w:tc>
        <w:tc>
          <w:tcPr>
            <w:tcW w:w="1099"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做好保护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3楼会议室</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椅子、书架503</w:t>
            </w:r>
          </w:p>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沙发504</w:t>
            </w:r>
          </w:p>
        </w:tc>
        <w:tc>
          <w:tcPr>
            <w:tcW w:w="1099" w:type="dxa"/>
            <w:vAlign w:val="center"/>
          </w:tcPr>
          <w:p>
            <w:pPr>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85"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沙发</w:t>
            </w: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1楼沙发 茶几</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4楼大厅</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85" w:type="dxa"/>
            <w:vMerge w:val="continue"/>
            <w:vAlign w:val="center"/>
          </w:tcPr>
          <w:p>
            <w:pPr>
              <w:jc w:val="center"/>
              <w:rPr>
                <w:rFonts w:hint="eastAsia" w:ascii="宋体" w:hAnsi="宋体" w:eastAsia="宋体" w:cs="宋体"/>
                <w:sz w:val="21"/>
                <w:szCs w:val="21"/>
                <w:vertAlign w:val="baseline"/>
              </w:rPr>
            </w:pP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3楼红色书吧及沙发</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5楼大厅</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8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存包柜</w:t>
            </w: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3楼自习厅存物架一组</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4楼自习室</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8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电器类</w:t>
            </w:r>
          </w:p>
        </w:tc>
        <w:tc>
          <w:tcPr>
            <w:tcW w:w="393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门禁、大屏设备类</w:t>
            </w:r>
          </w:p>
        </w:tc>
        <w:tc>
          <w:tcPr>
            <w:tcW w:w="2424"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8楼电子阅览室</w:t>
            </w:r>
          </w:p>
        </w:tc>
        <w:tc>
          <w:tcPr>
            <w:tcW w:w="1099"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8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报废</w:t>
            </w:r>
          </w:p>
        </w:tc>
        <w:tc>
          <w:tcPr>
            <w:tcW w:w="7458" w:type="dxa"/>
            <w:gridSpan w:val="3"/>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木书架、书柜123组、旧铁架32组、吧台4组、老存包柜12组</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三、搬迁要求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1.图书按序下架、分类清点、打捆打包、规范标识搬运至馆内指定地点存放，在搬运过程中不得出现散包的情况。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2.做好防尘、防火、防潮工作，所有图书下架后需用防火、防水油布遮盖，木托盘放在图书下方防潮存放。图书及家具在存放期间供应商要定期派人检查，做好防潮、防火安全防范措施。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3.期刊室期刊、期刊架搬迁至临时期刊阅览室。期刊打包搬运，在搬运过程中不得出现散包的情况。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4.图书回迁时需按 RFID 层架标定位上架。所运图书及期刊必须做到无丢失、不破损。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5.钢制书架按排架分布情况制作好架标并粘贴好层架标和架位号，拆解、标记、打捆搬运。回迁时需原位安装。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6.木质书架，家具搬运时须做好标记、做好防护，避免损坏。回迁时需按原位摆放。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7.所搬运的图书及期刊、家具不得损坏和丢失，若有损坏和丢失的按原价值赔偿。 </w:t>
      </w:r>
    </w:p>
    <w:p>
      <w:pPr>
        <w:pStyle w:val="2"/>
        <w:spacing w:line="360" w:lineRule="auto"/>
        <w:ind w:left="0" w:leftChars="0" w:firstLine="0" w:firstLineChars="0"/>
        <w:rPr>
          <w:rFonts w:hint="default"/>
          <w:lang w:val="en-US"/>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FF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8.装修完成后， 所有图书及其书架、桌椅，按要求搬回指定地点，没有损坏、遗失。</w:t>
      </w:r>
      <w:r>
        <w:rPr>
          <w:rFonts w:hint="eastAsia" w:ascii="宋体" w:hAnsi="宋体" w:eastAsia="宋体" w:cs="宋体"/>
          <w:color w:val="FF0000"/>
          <w:sz w:val="24"/>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四、工期要求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合同签订后，接到采购人通知第二天进场开始搬迁工作，第一阶段搬迁工期不超过 20 天。图书馆改造加固工程完成后，采购人通知供应商启动第二阶段搬迁工作，20 天内将完成所有图书及期刊、家具回迁、书库布局、数据完善、分类排架、图书及期刊上架及倒架工作。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如遇校内重大活动或因新冠肺炎疫情搬迁暂停的，承包人需无条件配合，工期依据暂停时间自动顺延，但因此产生的其他影响或成本支出由承包人自行承担。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五、项目要求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1.自备服务用品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服务过程所需要的设备及辅材需由中标供应商自备。包括但不限于以下用品：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（1）编目用打印机（标签打印机及系统）、条码扫描枪。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（2）图书及期刊打包所需打包机和打包带若干、打包纸、编织带、胶带，防火油布，木托盘耗材。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（3）提供防潮铺层，防潮膜一层加打包纸一层共两层。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（4）中标供应商派驻实施人员的劳保用品。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2.人员要求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（1）中标供应商派驻的项目负责人具有相关经验，中标供应商派驻的现场负责人具有良好的管理能力，保证现场安全、有序。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（2）中标供应商派驻的现场负责人需具有良好的沟通能力，能够及时向图书项目负责人进行工作进度的汇报，协商修改工作流程和细则，并及时解决存在的问题。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3.工作地点及管理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（1）图书及期刊搬迁建库要求中标供应商进入采购人指定场地，现场加工完善数据。采购人提供场地。工作期间，中标供应商需遵守采购人校内管理规定。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（2）各个环节的现场都应保持整洁，及时将绳子、碎纸、作废的色标废弃物全部清理干净。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（3）项目完工后，所运图书及期刊必须做到无丢失、不破损，凡在搬迁过程中造 成的图书及期刊丢失或破损，一律由中标供应商按要求赔偿。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（4）图书及期刊搬至指定地点后，必须按照图书馆的馆藏布局和现场指挥人员的 要求，有序摆放至指定位置，准确率达到 99.9%。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（5）搬迁过程中必须保持馆舍及内外设施完好。在搬运过程中要做电梯的防护措施，不得损毁，否则中标供应商须照价赔偿。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4.安全要求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（1）在图书及期刊搬迁建库整理过程中，中标供应商要始终坚持安全意识，做好 “防火、防盗、防水”措施。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（2）中标供应商承担现场（服务人员、设施设备）的安全管理职责。在项目实 施过程中，应遵守国家有关安全施工规定，若服务人员、车辆、设备及物品发生人身 及财产损害由中标供应商承担所有责任。学校不负任何法律责任。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（3）项目实施期间，中标供应商的实施人员要接受当地政府的有关疫情管控，按相关要求制定严格的行之有效的防控措施，并由中标供应商监督实施。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（4）入校、驻场工作人员不漏报个人疫情防控相关信息，配合采购人做好疫情防控工作。因个人原因造成疫情扩散后果者，将依法依规严肃追责。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5.服务要求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（1）严格</w:t>
      </w:r>
      <w:r>
        <w:rPr>
          <w:rFonts w:hint="eastAsia" w:ascii="宋体" w:hAnsi="宋体" w:cs="宋体"/>
          <w:color w:val="000000"/>
          <w:kern w:val="0"/>
          <w:sz w:val="24"/>
          <w:szCs w:val="24"/>
          <w:lang w:val="en-US" w:eastAsia="zh-CN" w:bidi="ar"/>
        </w:rPr>
        <w:t>按</w:t>
      </w:r>
      <w:r>
        <w:rPr>
          <w:rFonts w:hint="eastAsia" w:ascii="宋体" w:hAnsi="宋体" w:eastAsia="宋体" w:cs="宋体"/>
          <w:color w:val="000000"/>
          <w:kern w:val="0"/>
          <w:sz w:val="24"/>
          <w:szCs w:val="24"/>
          <w:lang w:val="en-US" w:eastAsia="zh-CN" w:bidi="ar"/>
        </w:rPr>
        <w:t xml:space="preserve">采购文件要求做好搬迁服务工作。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（2）无条件按要求做好上架工作。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（3）能满足采购人的上架要求。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（4）中标供应商所派出的人员需懂得《中图法》知识，且具有一定的图书上架经验。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（5）打包机及耗材由中标供应商提供，但无论采购人是否进行提示，中标供应商应当确保本合同约定工作的最终有效完成。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（6）中标供应商在合同签订前以及投标过程中，应明确本项目可能发生的任何成本、费用或支出，本项目实施过程中价款不做调整。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6.报价要求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报价为本项目服务期所需的所有（包干）费用：包括服务费、人工费、保险费、车费及提供服务所需的培训相关费用及各种应纳的税费。因投标人自身原因造成漏报、少报皆由其自行承担责任，采购人不再补偿。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六、验收标准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1.项目内容所规定的任务和要求。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2.项目实施过程中甲方随机抽检，图书及期刊上架出错率（未按分类号顺序排序打包、图书损毁）小于等于0.1%视为合格，出错率大于0.1%必须整改。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3.项目完成后，由甲方随机抽检图书及期刊上架情况，出错率小于等于0.1%视为合格，出错率大于0.1%必须整改。家具回迁要按原位摆放，搬迁过程中如有损坏要原价赔偿。整改完成后再次组织验收。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4.验收时乙方在现场，验收完毕后作出验收结果报告；验收产生的费用，属于首次验收过程中产生的，由甲方承担；属于首次验收不合格，重新验收过程中产生的，由乙方承担。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七、处罚条款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（1）搬迁前存有问题中标供应商需要及时向采购人提出，其出现的问题责任界定清楚后由采购人负责。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（2）中标供应商不能交付服务，服务不达标，由中标供应商向采购人支付合同总价的10%的违约金。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（3）中标供应商服务超期，每超期1天，中标供应商向采购人偿付超期服务部分总额的1%的违约金，违约金达到服务合同费的10%，采购人拒付合同款。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八、商务要求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1.履约保证金 </w:t>
      </w:r>
    </w:p>
    <w:p>
      <w:pPr>
        <w:spacing w:line="360" w:lineRule="auto"/>
        <w:ind w:firstLine="480" w:firstLineChars="200"/>
        <w:rPr>
          <w:rFonts w:hint="eastAsia"/>
          <w:lang w:val="en-US" w:eastAsia="zh-CN"/>
        </w:rPr>
      </w:pPr>
      <w:r>
        <w:rPr>
          <w:rFonts w:hint="eastAsia" w:ascii="宋体" w:hAnsi="宋体" w:cs="宋体"/>
          <w:color w:val="000000"/>
          <w:sz w:val="24"/>
          <w:lang w:val="en-US" w:eastAsia="zh-CN"/>
        </w:rPr>
        <w:t>本项目无需提供履约保证金。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2.付款方式 </w:t>
      </w:r>
    </w:p>
    <w:p>
      <w:pPr>
        <w:spacing w:line="360" w:lineRule="auto"/>
        <w:ind w:firstLine="480" w:firstLineChars="200"/>
        <w:rPr>
          <w:rFonts w:ascii="宋体" w:hAnsi="宋体"/>
          <w:color w:val="000000"/>
          <w:sz w:val="24"/>
          <w:highlight w:val="yellow"/>
        </w:rPr>
      </w:pP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20%</w:t>
      </w:r>
      <w:r>
        <w:rPr>
          <w:rFonts w:hint="eastAsia" w:ascii="宋体" w:hAnsi="宋体" w:cs="宋体"/>
          <w:color w:val="000000" w:themeColor="text1"/>
          <w:sz w:val="24"/>
          <w:highlight w:val="yellow"/>
          <w:shd w:val="clear" w:color="auto" w:fill="FFFFFF"/>
          <w14:textFill>
            <w14:solidFill>
              <w14:schemeClr w14:val="tx1"/>
            </w14:solidFill>
          </w14:textFill>
        </w:rPr>
        <w:t>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3.本项目如需要了解下面具体情况，请联系以下老师：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联系人：</w:t>
      </w:r>
      <w:r>
        <w:rPr>
          <w:rFonts w:hint="eastAsia" w:ascii="宋体" w:hAnsi="宋体" w:cs="宋体"/>
          <w:kern w:val="0"/>
          <w:sz w:val="24"/>
        </w:rPr>
        <w:t>陈老师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联系电话: </w:t>
      </w:r>
      <w:r>
        <w:rPr>
          <w:rFonts w:hint="eastAsia" w:ascii="宋体" w:hAnsi="宋体" w:cs="宋体"/>
          <w:color w:val="000000"/>
          <w:kern w:val="0"/>
          <w:sz w:val="24"/>
        </w:rPr>
        <w:t>13567020218</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九、其他要求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1.相关法规、管理条例与技术标准、行业规范：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（1）国家规定的标准和规范，有新标准按新标准执行；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（2）行业标准及规范，有新标准按新标准执行；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（3）其他相关标准。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2.入校、驻场工作人员不漏报个人疫情防控相关信息，配合采购人做好疫情防控工作。因个人原因造成疫情扩散等后果者，将依法依规严肃追责。</w:t>
      </w:r>
    </w:p>
    <w:p>
      <w:pPr>
        <w:keepNext w:val="0"/>
        <w:keepLines w:val="0"/>
        <w:pageBreakBefore w:val="0"/>
        <w:kinsoku/>
        <w:wordWrap/>
        <w:topLinePunct w:val="0"/>
        <w:bidi w:val="0"/>
        <w:spacing w:line="360" w:lineRule="auto"/>
        <w:jc w:val="center"/>
      </w:pPr>
      <w:r>
        <w:rPr>
          <w:b/>
          <w:color w:val="000000"/>
          <w:sz w:val="24"/>
        </w:rPr>
        <w:br w:type="page"/>
      </w:r>
      <w:r>
        <w:rPr>
          <w:rFonts w:hint="eastAsia" w:ascii="宋体" w:hAnsi="宋体" w:cs="宋体"/>
          <w:b/>
          <w:color w:val="000000"/>
          <w:sz w:val="32"/>
        </w:rPr>
        <w:t>第四章  合同主要条款</w:t>
      </w:r>
    </w:p>
    <w:p>
      <w:pPr>
        <w:keepNext w:val="0"/>
        <w:keepLines w:val="0"/>
        <w:pageBreakBefore w:val="0"/>
        <w:kinsoku/>
        <w:wordWrap/>
        <w:topLinePunct w:val="0"/>
        <w:bidi w:val="0"/>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图书馆过渡搬迁项目合同</w:t>
      </w:r>
    </w:p>
    <w:p>
      <w:pPr>
        <w:keepNext w:val="0"/>
        <w:keepLines w:val="0"/>
        <w:pageBreakBefore w:val="0"/>
        <w:kinsoku/>
        <w:wordWrap/>
        <w:topLinePunct w:val="0"/>
        <w:bidi w:val="0"/>
        <w:spacing w:line="360" w:lineRule="auto"/>
        <w:rPr>
          <w:rFonts w:hint="eastAsia" w:ascii="宋体" w:hAnsi="宋体" w:cs="宋体"/>
          <w:color w:val="000000"/>
          <w:sz w:val="24"/>
        </w:rPr>
      </w:pPr>
      <w:r>
        <w:rPr>
          <w:rFonts w:hint="eastAsia" w:ascii="宋体" w:hAnsi="宋体" w:cs="宋体"/>
          <w:color w:val="000000"/>
          <w:sz w:val="24"/>
        </w:rPr>
        <w:t>甲  方：衢州学院                     乙  方：</w:t>
      </w:r>
    </w:p>
    <w:p>
      <w:pPr>
        <w:keepNext w:val="0"/>
        <w:keepLines w:val="0"/>
        <w:pageBreakBefore w:val="0"/>
        <w:kinsoku/>
        <w:wordWrap/>
        <w:topLinePunct w:val="0"/>
        <w:bidi w:val="0"/>
        <w:spacing w:line="360" w:lineRule="auto"/>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bCs/>
          <w:color w:val="000000"/>
          <w:sz w:val="24"/>
        </w:rPr>
        <w:t>衢州市九华北大道78号</w:t>
      </w:r>
      <w:r>
        <w:rPr>
          <w:rFonts w:hint="eastAsia" w:ascii="宋体" w:hAnsi="宋体" w:cs="宋体"/>
          <w:color w:val="000000"/>
          <w:sz w:val="24"/>
        </w:rPr>
        <w:t xml:space="preserve">        地  址：</w:t>
      </w:r>
    </w:p>
    <w:p>
      <w:pPr>
        <w:keepNext w:val="0"/>
        <w:keepLines w:val="0"/>
        <w:pageBreakBefore w:val="0"/>
        <w:kinsoku/>
        <w:wordWrap/>
        <w:topLinePunct w:val="0"/>
        <w:bidi w:val="0"/>
        <w:spacing w:line="360" w:lineRule="auto"/>
        <w:rPr>
          <w:rFonts w:hint="eastAsia" w:ascii="宋体" w:hAnsi="宋体" w:cs="宋体"/>
          <w:color w:val="000000"/>
          <w:sz w:val="24"/>
        </w:rPr>
      </w:pPr>
      <w:r>
        <w:rPr>
          <w:rFonts w:hint="eastAsia" w:ascii="宋体" w:hAnsi="宋体" w:cs="宋体"/>
          <w:color w:val="000000"/>
          <w:sz w:val="24"/>
        </w:rPr>
        <w:t>邮  编：324000                       邮  编：</w:t>
      </w:r>
    </w:p>
    <w:p>
      <w:pPr>
        <w:keepNext w:val="0"/>
        <w:keepLines w:val="0"/>
        <w:pageBreakBefore w:val="0"/>
        <w:kinsoku/>
        <w:wordWrap/>
        <w:topLinePunct w:val="0"/>
        <w:bidi w:val="0"/>
        <w:spacing w:line="360" w:lineRule="auto"/>
        <w:rPr>
          <w:rFonts w:hint="eastAsia" w:ascii="宋体" w:hAnsi="宋体" w:cs="宋体"/>
          <w:color w:val="000000"/>
          <w:sz w:val="24"/>
        </w:rPr>
      </w:pPr>
      <w:r>
        <w:rPr>
          <w:rFonts w:hint="eastAsia" w:ascii="宋体" w:hAnsi="宋体" w:cs="宋体"/>
          <w:color w:val="000000"/>
          <w:sz w:val="24"/>
        </w:rPr>
        <w:t>联系人：                             联系人：</w:t>
      </w:r>
    </w:p>
    <w:p>
      <w:pPr>
        <w:keepNext w:val="0"/>
        <w:keepLines w:val="0"/>
        <w:pageBreakBefore w:val="0"/>
        <w:kinsoku/>
        <w:wordWrap/>
        <w:topLinePunct w:val="0"/>
        <w:bidi w:val="0"/>
        <w:spacing w:line="360" w:lineRule="auto"/>
        <w:rPr>
          <w:rFonts w:hint="eastAsia" w:ascii="宋体" w:hAnsi="宋体" w:cs="宋体"/>
          <w:color w:val="000000"/>
          <w:sz w:val="24"/>
        </w:rPr>
      </w:pPr>
      <w:r>
        <w:rPr>
          <w:rFonts w:hint="eastAsia" w:ascii="宋体" w:hAnsi="宋体" w:cs="宋体"/>
          <w:color w:val="000000"/>
          <w:sz w:val="24"/>
        </w:rPr>
        <w:t>电  话：                             电  话：</w:t>
      </w:r>
    </w:p>
    <w:p>
      <w:pPr>
        <w:keepNext w:val="0"/>
        <w:keepLines w:val="0"/>
        <w:pageBreakBefore w:val="0"/>
        <w:kinsoku/>
        <w:wordWrap/>
        <w:topLinePunct w:val="0"/>
        <w:bidi w:val="0"/>
        <w:spacing w:line="360" w:lineRule="auto"/>
        <w:jc w:val="right"/>
        <w:rPr>
          <w:rFonts w:hint="eastAsia" w:ascii="宋体" w:hAnsi="宋体" w:cs="宋体"/>
          <w:color w:val="000000"/>
          <w:sz w:val="24"/>
        </w:rPr>
      </w:pPr>
      <w:r>
        <w:rPr>
          <w:rFonts w:hint="eastAsia" w:ascii="宋体" w:hAnsi="宋体" w:cs="宋体"/>
          <w:color w:val="000000"/>
          <w:sz w:val="24"/>
        </w:rPr>
        <w:t>签约地点：浙江衢州</w:t>
      </w:r>
    </w:p>
    <w:p>
      <w:pPr>
        <w:keepNext w:val="0"/>
        <w:keepLines w:val="0"/>
        <w:pageBreakBefore w:val="0"/>
        <w:kinsoku/>
        <w:wordWrap/>
        <w:topLinePunct w:val="0"/>
        <w:bidi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一、说  明</w:t>
      </w:r>
    </w:p>
    <w:p>
      <w:pPr>
        <w:pStyle w:val="14"/>
        <w:keepNext w:val="0"/>
        <w:keepLines w:val="0"/>
        <w:pageBreakBefore w:val="0"/>
        <w:kinsoku/>
        <w:wordWrap/>
        <w:topLinePunct w:val="0"/>
        <w:bidi w:val="0"/>
        <w:spacing w:before="0" w:beforeAutospacing="0" w:after="0" w:afterAutospacing="0" w:line="360" w:lineRule="auto"/>
        <w:ind w:firstLine="480" w:firstLineChars="200"/>
        <w:rPr>
          <w:rFonts w:hint="eastAsia" w:cs="宋体"/>
          <w:color w:val="000000"/>
          <w:kern w:val="2"/>
        </w:rPr>
      </w:pPr>
      <w:r>
        <w:rPr>
          <w:rFonts w:hint="eastAsia" w:cs="宋体"/>
          <w:color w:val="000000"/>
          <w:kern w:val="2"/>
        </w:rPr>
        <w:t>1.依据《中华人民共和国合同法》的规定，现</w:t>
      </w:r>
      <w:r>
        <w:rPr>
          <w:rFonts w:hint="eastAsia" w:cs="宋体"/>
          <w:color w:val="000000"/>
          <w:kern w:val="2"/>
          <w:u w:val="none"/>
        </w:rPr>
        <w:t>就</w:t>
      </w:r>
      <w:r>
        <w:rPr>
          <w:rFonts w:hint="eastAsia" w:cs="宋体"/>
          <w:b/>
          <w:bCs/>
          <w:color w:val="000000"/>
          <w:kern w:val="2"/>
          <w:u w:val="none"/>
        </w:rPr>
        <w:t>图书馆过渡搬迁项目</w:t>
      </w:r>
      <w:r>
        <w:rPr>
          <w:rFonts w:hint="eastAsia" w:cs="宋体"/>
          <w:color w:val="000000"/>
          <w:kern w:val="2"/>
        </w:rPr>
        <w:t>等事宜，经双方协商一致本着平等自愿的原则签订本合同。</w:t>
      </w:r>
    </w:p>
    <w:p>
      <w:pPr>
        <w:pStyle w:val="14"/>
        <w:keepNext w:val="0"/>
        <w:keepLines w:val="0"/>
        <w:pageBreakBefore w:val="0"/>
        <w:kinsoku/>
        <w:wordWrap/>
        <w:topLinePunct w:val="0"/>
        <w:bidi w:val="0"/>
        <w:spacing w:before="0" w:beforeAutospacing="0" w:after="0" w:afterAutospacing="0" w:line="360" w:lineRule="auto"/>
        <w:ind w:firstLine="480" w:firstLineChars="200"/>
        <w:rPr>
          <w:rFonts w:hint="eastAsia" w:cs="宋体"/>
          <w:color w:val="000000"/>
          <w:kern w:val="2"/>
        </w:rPr>
      </w:pPr>
      <w:r>
        <w:rPr>
          <w:rFonts w:hint="eastAsia" w:cs="宋体"/>
          <w:color w:val="000000"/>
          <w:kern w:val="2"/>
        </w:rPr>
        <w:t>2.</w:t>
      </w:r>
      <w:r>
        <w:rPr>
          <w:rFonts w:hint="eastAsia" w:cs="宋体"/>
          <w:color w:val="000000"/>
          <w:kern w:val="2"/>
          <w:lang w:eastAsia="zh-CN"/>
        </w:rPr>
        <w:t>招标</w:t>
      </w:r>
      <w:r>
        <w:rPr>
          <w:rFonts w:hint="eastAsia" w:cs="宋体"/>
          <w:color w:val="000000"/>
          <w:kern w:val="2"/>
        </w:rPr>
        <w:t>文件，</w:t>
      </w:r>
      <w:r>
        <w:rPr>
          <w:rFonts w:hint="eastAsia" w:cs="宋体"/>
          <w:color w:val="000000"/>
          <w:kern w:val="2"/>
          <w:lang w:val="en-US" w:eastAsia="zh-CN"/>
        </w:rPr>
        <w:t>投标</w:t>
      </w:r>
      <w:r>
        <w:rPr>
          <w:rFonts w:hint="eastAsia" w:cs="宋体"/>
          <w:color w:val="000000"/>
          <w:kern w:val="2"/>
        </w:rPr>
        <w:t>文件，乙方的承诺书均为本合同的附件，与本合同具有同等效力，在本合同无约定或约定不明时均按照执行。</w:t>
      </w:r>
    </w:p>
    <w:p>
      <w:pPr>
        <w:pStyle w:val="14"/>
        <w:keepNext w:val="0"/>
        <w:keepLines w:val="0"/>
        <w:pageBreakBefore w:val="0"/>
        <w:kinsoku/>
        <w:wordWrap/>
        <w:topLinePunct w:val="0"/>
        <w:bidi w:val="0"/>
        <w:spacing w:before="0" w:beforeAutospacing="0" w:after="0" w:afterAutospacing="0" w:line="360" w:lineRule="auto"/>
        <w:ind w:firstLine="480" w:firstLineChars="200"/>
        <w:rPr>
          <w:rFonts w:hint="eastAsia" w:cs="宋体"/>
          <w:color w:val="000000"/>
          <w:kern w:val="2"/>
        </w:rPr>
      </w:pPr>
      <w:r>
        <w:rPr>
          <w:rFonts w:hint="eastAsia" w:cs="宋体"/>
          <w:color w:val="000000"/>
          <w:kern w:val="2"/>
        </w:rPr>
        <w:t>3.乙方履约时应遵循疫情期间相关管理规定。</w:t>
      </w:r>
    </w:p>
    <w:p>
      <w:pPr>
        <w:pStyle w:val="14"/>
        <w:keepNext w:val="0"/>
        <w:keepLines w:val="0"/>
        <w:pageBreakBefore w:val="0"/>
        <w:kinsoku/>
        <w:wordWrap/>
        <w:topLinePunct w:val="0"/>
        <w:bidi w:val="0"/>
        <w:spacing w:before="0" w:beforeAutospacing="0" w:after="0" w:afterAutospacing="0" w:line="360" w:lineRule="auto"/>
        <w:ind w:firstLine="480" w:firstLineChars="200"/>
        <w:rPr>
          <w:rFonts w:hint="eastAsia" w:cs="宋体"/>
          <w:color w:val="000000"/>
          <w:kern w:val="2"/>
        </w:rPr>
      </w:pPr>
      <w:r>
        <w:rPr>
          <w:rFonts w:hint="eastAsia" w:cs="宋体"/>
          <w:color w:val="000000"/>
          <w:kern w:val="2"/>
        </w:rPr>
        <w:t>4.本合同没有约定的，甲、乙双方应严格按照</w:t>
      </w:r>
      <w:r>
        <w:rPr>
          <w:rFonts w:hint="eastAsia" w:cs="宋体"/>
          <w:color w:val="000000"/>
          <w:kern w:val="2"/>
          <w:lang w:eastAsia="zh-CN"/>
        </w:rPr>
        <w:t>招标</w:t>
      </w:r>
      <w:r>
        <w:rPr>
          <w:rFonts w:hint="eastAsia" w:cs="宋体"/>
          <w:color w:val="000000"/>
          <w:kern w:val="2"/>
        </w:rPr>
        <w:t>文件、</w:t>
      </w:r>
      <w:r>
        <w:rPr>
          <w:rFonts w:hint="eastAsia" w:cs="宋体"/>
          <w:color w:val="000000"/>
          <w:kern w:val="2"/>
          <w:lang w:val="en-US" w:eastAsia="zh-CN"/>
        </w:rPr>
        <w:t>投标</w:t>
      </w:r>
      <w:r>
        <w:rPr>
          <w:rFonts w:hint="eastAsia" w:cs="宋体"/>
          <w:color w:val="000000"/>
          <w:kern w:val="2"/>
        </w:rPr>
        <w:t>文件及专家组确认的项目内容要求、质量标准、数量和交货日期、书面承诺等执行。</w:t>
      </w:r>
    </w:p>
    <w:p>
      <w:pPr>
        <w:pStyle w:val="14"/>
        <w:keepNext w:val="0"/>
        <w:keepLines w:val="0"/>
        <w:pageBreakBefore w:val="0"/>
        <w:kinsoku/>
        <w:wordWrap/>
        <w:topLinePunct w:val="0"/>
        <w:bidi w:val="0"/>
        <w:spacing w:before="0" w:beforeAutospacing="0" w:after="0" w:afterAutospacing="0" w:line="360" w:lineRule="auto"/>
        <w:ind w:firstLine="482" w:firstLineChars="200"/>
        <w:jc w:val="both"/>
        <w:rPr>
          <w:rFonts w:hint="eastAsia" w:cs="宋体"/>
          <w:b/>
          <w:color w:val="000000"/>
          <w:kern w:val="2"/>
        </w:rPr>
      </w:pPr>
      <w:r>
        <w:rPr>
          <w:rFonts w:hint="eastAsia" w:cs="宋体"/>
          <w:b/>
          <w:color w:val="000000"/>
          <w:kern w:val="2"/>
        </w:rPr>
        <w:t>二、项目内容及金额</w:t>
      </w:r>
    </w:p>
    <w:tbl>
      <w:tblPr>
        <w:tblStyle w:val="17"/>
        <w:tblW w:w="4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3"/>
        <w:gridCol w:w="1202"/>
        <w:gridCol w:w="1500"/>
        <w:gridCol w:w="103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90" w:type="pct"/>
            <w:noWrap w:val="0"/>
            <w:vAlign w:val="center"/>
          </w:tcPr>
          <w:p>
            <w:pPr>
              <w:keepNext w:val="0"/>
              <w:keepLines w:val="0"/>
              <w:pageBreakBefore w:val="0"/>
              <w:kinsoku/>
              <w:wordWrap/>
              <w:topLinePunct w:val="0"/>
              <w:bidi w:val="0"/>
              <w:snapToGrid w:val="0"/>
              <w:spacing w:line="360" w:lineRule="auto"/>
              <w:jc w:val="center"/>
              <w:rPr>
                <w:rFonts w:hint="eastAsia" w:ascii="宋体" w:hAnsi="宋体" w:cs="宋体"/>
                <w:kern w:val="0"/>
                <w:sz w:val="24"/>
              </w:rPr>
            </w:pPr>
            <w:r>
              <w:rPr>
                <w:rFonts w:hint="eastAsia" w:ascii="宋体" w:hAnsi="宋体" w:cs="宋体"/>
                <w:kern w:val="0"/>
                <w:sz w:val="24"/>
              </w:rPr>
              <w:t>项目名称</w:t>
            </w:r>
          </w:p>
        </w:tc>
        <w:tc>
          <w:tcPr>
            <w:tcW w:w="749" w:type="pct"/>
            <w:noWrap w:val="0"/>
            <w:vAlign w:val="center"/>
          </w:tcPr>
          <w:p>
            <w:pPr>
              <w:keepNext w:val="0"/>
              <w:keepLines w:val="0"/>
              <w:pageBreakBefore w:val="0"/>
              <w:kinsoku/>
              <w:wordWrap/>
              <w:topLinePunct w:val="0"/>
              <w:bidi w:val="0"/>
              <w:snapToGrid w:val="0"/>
              <w:spacing w:line="360" w:lineRule="auto"/>
              <w:jc w:val="center"/>
              <w:rPr>
                <w:rFonts w:hint="eastAsia" w:ascii="宋体" w:hAnsi="宋体" w:cs="宋体"/>
                <w:kern w:val="0"/>
                <w:sz w:val="24"/>
              </w:rPr>
            </w:pPr>
            <w:r>
              <w:rPr>
                <w:rFonts w:hint="eastAsia" w:ascii="宋体" w:hAnsi="宋体" w:cs="宋体"/>
                <w:kern w:val="0"/>
                <w:sz w:val="24"/>
              </w:rPr>
              <w:t>数量</w:t>
            </w:r>
          </w:p>
        </w:tc>
        <w:tc>
          <w:tcPr>
            <w:tcW w:w="935" w:type="pct"/>
            <w:noWrap w:val="0"/>
            <w:vAlign w:val="center"/>
          </w:tcPr>
          <w:p>
            <w:pPr>
              <w:keepNext w:val="0"/>
              <w:keepLines w:val="0"/>
              <w:pageBreakBefore w:val="0"/>
              <w:kinsoku/>
              <w:wordWrap/>
              <w:topLinePunct w:val="0"/>
              <w:bidi w:val="0"/>
              <w:snapToGrid w:val="0"/>
              <w:spacing w:line="360" w:lineRule="auto"/>
              <w:jc w:val="center"/>
              <w:rPr>
                <w:rFonts w:hint="eastAsia" w:ascii="宋体" w:hAnsi="宋体" w:cs="宋体"/>
                <w:kern w:val="0"/>
                <w:sz w:val="24"/>
              </w:rPr>
            </w:pPr>
            <w:r>
              <w:rPr>
                <w:rFonts w:hint="eastAsia" w:ascii="宋体" w:hAnsi="宋体" w:cs="宋体"/>
                <w:kern w:val="0"/>
                <w:sz w:val="24"/>
              </w:rPr>
              <w:t>单位</w:t>
            </w:r>
          </w:p>
        </w:tc>
        <w:tc>
          <w:tcPr>
            <w:tcW w:w="642" w:type="pct"/>
            <w:noWrap w:val="0"/>
            <w:vAlign w:val="center"/>
          </w:tcPr>
          <w:p>
            <w:pPr>
              <w:keepNext w:val="0"/>
              <w:keepLines w:val="0"/>
              <w:pageBreakBefore w:val="0"/>
              <w:widowControl/>
              <w:kinsoku/>
              <w:wordWrap/>
              <w:topLinePunct w:val="0"/>
              <w:bidi w:val="0"/>
              <w:spacing w:line="360" w:lineRule="auto"/>
              <w:jc w:val="center"/>
              <w:rPr>
                <w:rFonts w:hint="eastAsia" w:ascii="宋体" w:hAnsi="宋体" w:cs="宋体"/>
                <w:kern w:val="0"/>
                <w:sz w:val="24"/>
              </w:rPr>
            </w:pPr>
            <w:r>
              <w:rPr>
                <w:rFonts w:hint="eastAsia" w:ascii="宋体" w:hAnsi="宋体" w:cs="宋体"/>
                <w:kern w:val="0"/>
                <w:sz w:val="24"/>
              </w:rPr>
              <w:t>单价</w:t>
            </w:r>
          </w:p>
        </w:tc>
        <w:tc>
          <w:tcPr>
            <w:tcW w:w="783" w:type="pct"/>
            <w:noWrap w:val="0"/>
            <w:vAlign w:val="center"/>
          </w:tcPr>
          <w:p>
            <w:pPr>
              <w:keepNext w:val="0"/>
              <w:keepLines w:val="0"/>
              <w:pageBreakBefore w:val="0"/>
              <w:widowControl/>
              <w:kinsoku/>
              <w:wordWrap/>
              <w:topLinePunct w:val="0"/>
              <w:bidi w:val="0"/>
              <w:spacing w:line="360" w:lineRule="auto"/>
              <w:jc w:val="center"/>
              <w:rPr>
                <w:rFonts w:hint="eastAsia" w:ascii="宋体" w:hAnsi="宋体" w:cs="宋体"/>
                <w:kern w:val="0"/>
                <w:sz w:val="24"/>
              </w:rPr>
            </w:pPr>
            <w:r>
              <w:rPr>
                <w:rFonts w:hint="eastAsia" w:ascii="宋体" w:hAnsi="宋体" w:cs="宋体"/>
                <w:kern w:val="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90" w:type="pct"/>
            <w:noWrap w:val="0"/>
            <w:vAlign w:val="center"/>
          </w:tcPr>
          <w:p>
            <w:pPr>
              <w:keepNext w:val="0"/>
              <w:keepLines w:val="0"/>
              <w:pageBreakBefore w:val="0"/>
              <w:kinsoku/>
              <w:wordWrap/>
              <w:topLinePunct w:val="0"/>
              <w:bidi w:val="0"/>
              <w:snapToGrid w:val="0"/>
              <w:spacing w:line="360" w:lineRule="auto"/>
              <w:jc w:val="center"/>
              <w:rPr>
                <w:rFonts w:hint="eastAsia" w:ascii="宋体" w:hAnsi="宋体" w:cs="宋体"/>
                <w:color w:val="000000"/>
                <w:kern w:val="0"/>
                <w:sz w:val="24"/>
              </w:rPr>
            </w:pPr>
            <w:r>
              <w:rPr>
                <w:rFonts w:hint="eastAsia" w:ascii="宋体" w:hAnsi="宋体" w:eastAsia="宋体" w:cs="宋体"/>
                <w:color w:val="000000"/>
                <w:kern w:val="2"/>
                <w:sz w:val="24"/>
                <w:szCs w:val="24"/>
                <w:lang w:val="en-US" w:eastAsia="zh-CN" w:bidi="ar-SA"/>
              </w:rPr>
              <w:t>图书及其书架、桌椅搬迁</w:t>
            </w:r>
          </w:p>
        </w:tc>
        <w:tc>
          <w:tcPr>
            <w:tcW w:w="749" w:type="pct"/>
            <w:noWrap w:val="0"/>
            <w:vAlign w:val="center"/>
          </w:tcPr>
          <w:p>
            <w:pPr>
              <w:keepNext w:val="0"/>
              <w:keepLines w:val="0"/>
              <w:pageBreakBefore w:val="0"/>
              <w:kinsoku/>
              <w:wordWrap/>
              <w:topLinePunct w:val="0"/>
              <w:bidi w:val="0"/>
              <w:snapToGrid w:val="0"/>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935" w:type="pct"/>
            <w:noWrap w:val="0"/>
            <w:vAlign w:val="center"/>
          </w:tcPr>
          <w:p>
            <w:pPr>
              <w:keepNext w:val="0"/>
              <w:keepLines w:val="0"/>
              <w:pageBreakBefore w:val="0"/>
              <w:kinsoku/>
              <w:wordWrap/>
              <w:topLinePunct w:val="0"/>
              <w:bidi w:val="0"/>
              <w:snapToGrid w:val="0"/>
              <w:spacing w:line="360" w:lineRule="auto"/>
              <w:jc w:val="center"/>
              <w:rPr>
                <w:rFonts w:hint="eastAsia" w:ascii="宋体" w:hAnsi="宋体" w:cs="宋体"/>
                <w:color w:val="000000"/>
                <w:kern w:val="0"/>
                <w:sz w:val="24"/>
              </w:rPr>
            </w:pPr>
            <w:r>
              <w:rPr>
                <w:rFonts w:hint="eastAsia" w:ascii="宋体" w:hAnsi="宋体" w:cs="宋体"/>
                <w:color w:val="000000"/>
                <w:kern w:val="0"/>
                <w:sz w:val="24"/>
              </w:rPr>
              <w:t>批</w:t>
            </w:r>
          </w:p>
        </w:tc>
        <w:tc>
          <w:tcPr>
            <w:tcW w:w="642" w:type="pct"/>
            <w:noWrap w:val="0"/>
            <w:vAlign w:val="center"/>
          </w:tcPr>
          <w:p>
            <w:pPr>
              <w:keepNext w:val="0"/>
              <w:keepLines w:val="0"/>
              <w:pageBreakBefore w:val="0"/>
              <w:kinsoku/>
              <w:wordWrap/>
              <w:topLinePunct w:val="0"/>
              <w:bidi w:val="0"/>
              <w:snapToGrid w:val="0"/>
              <w:spacing w:line="360" w:lineRule="auto"/>
              <w:jc w:val="center"/>
              <w:rPr>
                <w:rFonts w:hint="eastAsia" w:ascii="宋体" w:hAnsi="宋体" w:cs="宋体"/>
                <w:color w:val="000000"/>
                <w:kern w:val="0"/>
                <w:sz w:val="24"/>
              </w:rPr>
            </w:pPr>
          </w:p>
        </w:tc>
        <w:tc>
          <w:tcPr>
            <w:tcW w:w="783" w:type="pct"/>
            <w:noWrap w:val="0"/>
            <w:vAlign w:val="center"/>
          </w:tcPr>
          <w:p>
            <w:pPr>
              <w:keepNext w:val="0"/>
              <w:keepLines w:val="0"/>
              <w:pageBreakBefore w:val="0"/>
              <w:kinsoku/>
              <w:wordWrap/>
              <w:topLinePunct w:val="0"/>
              <w:bidi w:val="0"/>
              <w:snapToGrid w:val="0"/>
              <w:spacing w:line="360" w:lineRule="auto"/>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90" w:type="pct"/>
            <w:noWrap w:val="0"/>
            <w:vAlign w:val="center"/>
          </w:tcPr>
          <w:p>
            <w:pPr>
              <w:keepNext w:val="0"/>
              <w:keepLines w:val="0"/>
              <w:pageBreakBefore w:val="0"/>
              <w:kinsoku/>
              <w:wordWrap/>
              <w:topLinePunct w:val="0"/>
              <w:bidi w:val="0"/>
              <w:snapToGrid w:val="0"/>
              <w:spacing w:line="360" w:lineRule="auto"/>
              <w:jc w:val="center"/>
              <w:rPr>
                <w:rFonts w:hint="eastAsia" w:ascii="宋体" w:hAnsi="宋体" w:cs="宋体"/>
                <w:color w:val="000000"/>
                <w:sz w:val="24"/>
              </w:rPr>
            </w:pPr>
            <w:r>
              <w:rPr>
                <w:rFonts w:hint="eastAsia" w:ascii="宋体" w:hAnsi="宋体" w:cs="宋体"/>
                <w:color w:val="000000"/>
                <w:sz w:val="24"/>
              </w:rPr>
              <w:t>合同总价（人民币元）</w:t>
            </w:r>
          </w:p>
        </w:tc>
        <w:tc>
          <w:tcPr>
            <w:tcW w:w="3109" w:type="pct"/>
            <w:gridSpan w:val="4"/>
            <w:noWrap w:val="0"/>
            <w:vAlign w:val="center"/>
          </w:tcPr>
          <w:p>
            <w:pPr>
              <w:keepNext w:val="0"/>
              <w:keepLines w:val="0"/>
              <w:pageBreakBefore w:val="0"/>
              <w:kinsoku/>
              <w:wordWrap/>
              <w:topLinePunct w:val="0"/>
              <w:bidi w:val="0"/>
              <w:snapToGrid w:val="0"/>
              <w:spacing w:line="360" w:lineRule="auto"/>
              <w:jc w:val="center"/>
              <w:rPr>
                <w:rFonts w:hint="eastAsia" w:ascii="宋体" w:hAnsi="宋体" w:cs="宋体"/>
                <w:color w:val="000000"/>
                <w:kern w:val="0"/>
                <w:sz w:val="24"/>
              </w:rPr>
            </w:pPr>
          </w:p>
        </w:tc>
      </w:tr>
    </w:tbl>
    <w:p>
      <w:pPr>
        <w:pStyle w:val="10"/>
        <w:keepNext w:val="0"/>
        <w:keepLines w:val="0"/>
        <w:pageBreakBefore w:val="0"/>
        <w:kinsoku/>
        <w:wordWrap/>
        <w:topLinePunct w:val="0"/>
        <w:bidi w:val="0"/>
        <w:snapToGrid w:val="0"/>
        <w:spacing w:line="360" w:lineRule="auto"/>
        <w:ind w:firstLine="480" w:firstLineChars="200"/>
        <w:rPr>
          <w:rFonts w:hint="eastAsia" w:hAnsi="宋体" w:cs="宋体"/>
          <w:color w:val="000000"/>
          <w:kern w:val="2"/>
          <w:sz w:val="24"/>
          <w:szCs w:val="24"/>
        </w:rPr>
      </w:pPr>
      <w:r>
        <w:rPr>
          <w:rFonts w:hint="eastAsia" w:hAnsi="宋体" w:cs="宋体"/>
          <w:color w:val="000000"/>
          <w:kern w:val="2"/>
          <w:sz w:val="24"/>
          <w:szCs w:val="24"/>
        </w:rPr>
        <w:t>注：以上合同总价包括图书搬迁、书架拆装搬迁及完成本项目的所有费用。</w:t>
      </w:r>
    </w:p>
    <w:p>
      <w:pPr>
        <w:pStyle w:val="14"/>
        <w:keepNext w:val="0"/>
        <w:keepLines w:val="0"/>
        <w:pageBreakBefore w:val="0"/>
        <w:kinsoku/>
        <w:wordWrap/>
        <w:topLinePunct w:val="0"/>
        <w:bidi w:val="0"/>
        <w:spacing w:before="0" w:beforeAutospacing="0" w:after="0" w:afterAutospacing="0" w:line="360" w:lineRule="auto"/>
        <w:ind w:firstLine="482" w:firstLineChars="200"/>
        <w:jc w:val="both"/>
        <w:rPr>
          <w:rFonts w:hint="eastAsia" w:cs="宋体"/>
          <w:b/>
          <w:color w:val="000000"/>
          <w:kern w:val="2"/>
        </w:rPr>
      </w:pPr>
      <w:r>
        <w:rPr>
          <w:rFonts w:hint="eastAsia" w:cs="宋体"/>
          <w:b/>
          <w:color w:val="000000"/>
          <w:kern w:val="2"/>
        </w:rPr>
        <w:t>三、通知送达条款</w:t>
      </w:r>
    </w:p>
    <w:p>
      <w:pPr>
        <w:pStyle w:val="14"/>
        <w:keepNext w:val="0"/>
        <w:keepLines w:val="0"/>
        <w:pageBreakBefore w:val="0"/>
        <w:kinsoku/>
        <w:wordWrap/>
        <w:topLinePunct w:val="0"/>
        <w:bidi w:val="0"/>
        <w:spacing w:before="0" w:beforeAutospacing="0" w:after="0" w:afterAutospacing="0" w:line="360" w:lineRule="auto"/>
        <w:ind w:firstLine="480" w:firstLineChars="200"/>
        <w:rPr>
          <w:rFonts w:hint="eastAsia" w:cs="宋体"/>
          <w:color w:val="000000"/>
          <w:kern w:val="2"/>
        </w:rPr>
      </w:pPr>
      <w:r>
        <w:rPr>
          <w:rFonts w:hint="eastAsia" w:cs="宋体"/>
          <w:color w:val="000000"/>
          <w:kern w:val="2"/>
        </w:rPr>
        <w:t>1.甲方通知送达地址：浙江省衢州市柯城区九华北大道78号。</w:t>
      </w:r>
    </w:p>
    <w:p>
      <w:pPr>
        <w:pStyle w:val="14"/>
        <w:keepNext w:val="0"/>
        <w:keepLines w:val="0"/>
        <w:pageBreakBefore w:val="0"/>
        <w:kinsoku/>
        <w:wordWrap/>
        <w:topLinePunct w:val="0"/>
        <w:bidi w:val="0"/>
        <w:spacing w:before="0" w:beforeAutospacing="0" w:after="0" w:afterAutospacing="0" w:line="360" w:lineRule="auto"/>
        <w:ind w:firstLine="2880" w:firstLineChars="1200"/>
        <w:rPr>
          <w:rFonts w:hint="eastAsia" w:cs="宋体"/>
          <w:color w:val="000000"/>
          <w:kern w:val="2"/>
        </w:rPr>
      </w:pPr>
      <w:r>
        <w:rPr>
          <w:rFonts w:hint="eastAsia" w:cs="宋体"/>
          <w:color w:val="000000"/>
          <w:kern w:val="2"/>
        </w:rPr>
        <w:t>接收人</w:t>
      </w:r>
      <w:r>
        <w:rPr>
          <w:rFonts w:hint="eastAsia" w:cs="宋体"/>
          <w:color w:val="000000"/>
          <w:kern w:val="2"/>
          <w:u w:val="single"/>
        </w:rPr>
        <w:t xml:space="preserve">           </w:t>
      </w:r>
      <w:r>
        <w:rPr>
          <w:rFonts w:hint="eastAsia" w:cs="宋体"/>
          <w:color w:val="000000"/>
          <w:kern w:val="2"/>
        </w:rPr>
        <w:t>，联系电话</w:t>
      </w:r>
      <w:r>
        <w:rPr>
          <w:rFonts w:hint="eastAsia" w:cs="宋体"/>
          <w:color w:val="000000"/>
          <w:kern w:val="2"/>
          <w:u w:val="single"/>
        </w:rPr>
        <w:t xml:space="preserve">             </w:t>
      </w:r>
      <w:r>
        <w:rPr>
          <w:rFonts w:hint="eastAsia" w:cs="宋体"/>
          <w:color w:val="000000"/>
          <w:kern w:val="2"/>
        </w:rPr>
        <w:t>。</w:t>
      </w:r>
    </w:p>
    <w:p>
      <w:pPr>
        <w:pStyle w:val="14"/>
        <w:keepNext w:val="0"/>
        <w:keepLines w:val="0"/>
        <w:pageBreakBefore w:val="0"/>
        <w:numPr>
          <w:ilvl w:val="0"/>
          <w:numId w:val="3"/>
        </w:numPr>
        <w:kinsoku/>
        <w:wordWrap/>
        <w:topLinePunct w:val="0"/>
        <w:bidi w:val="0"/>
        <w:spacing w:before="0" w:beforeAutospacing="0" w:after="0" w:afterAutospacing="0" w:line="360" w:lineRule="auto"/>
        <w:ind w:firstLine="480" w:firstLineChars="200"/>
        <w:rPr>
          <w:rFonts w:hint="eastAsia" w:cs="宋体"/>
          <w:color w:val="000000"/>
          <w:kern w:val="2"/>
        </w:rPr>
      </w:pPr>
      <w:r>
        <w:rPr>
          <w:rFonts w:hint="eastAsia" w:cs="宋体"/>
          <w:color w:val="000000"/>
          <w:kern w:val="2"/>
        </w:rPr>
        <w:t>乙方通知送达地址：</w:t>
      </w:r>
      <w:r>
        <w:rPr>
          <w:rFonts w:hint="eastAsia" w:cs="宋体"/>
          <w:color w:val="000000"/>
          <w:kern w:val="2"/>
          <w:u w:val="single"/>
          <w:lang w:val="en-US" w:eastAsia="zh-CN"/>
        </w:rPr>
        <w:t xml:space="preserve">                                      </w:t>
      </w:r>
      <w:r>
        <w:rPr>
          <w:rFonts w:hint="eastAsia" w:cs="宋体"/>
          <w:color w:val="000000"/>
          <w:kern w:val="2"/>
          <w:u w:val="none"/>
          <w:lang w:val="en-US" w:eastAsia="zh-CN"/>
        </w:rPr>
        <w:t>。</w:t>
      </w:r>
    </w:p>
    <w:p>
      <w:pPr>
        <w:pStyle w:val="14"/>
        <w:keepNext w:val="0"/>
        <w:keepLines w:val="0"/>
        <w:pageBreakBefore w:val="0"/>
        <w:numPr>
          <w:ilvl w:val="0"/>
          <w:numId w:val="0"/>
        </w:numPr>
        <w:kinsoku/>
        <w:wordWrap/>
        <w:topLinePunct w:val="0"/>
        <w:bidi w:val="0"/>
        <w:spacing w:before="0" w:beforeAutospacing="0" w:after="0" w:afterAutospacing="0" w:line="360" w:lineRule="auto"/>
        <w:ind w:firstLine="2880" w:firstLineChars="1200"/>
        <w:rPr>
          <w:rFonts w:hint="eastAsia" w:cs="宋体"/>
          <w:color w:val="000000"/>
          <w:kern w:val="2"/>
        </w:rPr>
      </w:pPr>
      <w:r>
        <w:rPr>
          <w:rFonts w:hint="eastAsia" w:cs="宋体"/>
          <w:color w:val="000000"/>
          <w:kern w:val="2"/>
        </w:rPr>
        <w:t>接收人</w:t>
      </w:r>
      <w:r>
        <w:rPr>
          <w:rFonts w:hint="eastAsia" w:cs="宋体"/>
          <w:color w:val="000000"/>
          <w:kern w:val="2"/>
          <w:u w:val="single"/>
        </w:rPr>
        <w:t xml:space="preserve">            </w:t>
      </w:r>
      <w:r>
        <w:rPr>
          <w:rFonts w:hint="eastAsia" w:cs="宋体"/>
          <w:color w:val="000000"/>
          <w:kern w:val="2"/>
        </w:rPr>
        <w:t>，联系电话</w:t>
      </w:r>
      <w:r>
        <w:rPr>
          <w:rFonts w:hint="eastAsia" w:cs="宋体"/>
          <w:color w:val="000000"/>
          <w:kern w:val="2"/>
          <w:u w:val="single"/>
        </w:rPr>
        <w:t xml:space="preserve">             </w:t>
      </w:r>
      <w:r>
        <w:rPr>
          <w:rFonts w:hint="eastAsia" w:cs="宋体"/>
          <w:color w:val="000000"/>
          <w:kern w:val="2"/>
        </w:rPr>
        <w:t>。</w:t>
      </w:r>
    </w:p>
    <w:p>
      <w:pPr>
        <w:pStyle w:val="14"/>
        <w:keepNext w:val="0"/>
        <w:keepLines w:val="0"/>
        <w:pageBreakBefore w:val="0"/>
        <w:kinsoku/>
        <w:wordWrap/>
        <w:topLinePunct w:val="0"/>
        <w:bidi w:val="0"/>
        <w:spacing w:before="0" w:beforeAutospacing="0" w:after="0" w:afterAutospacing="0" w:line="360" w:lineRule="auto"/>
        <w:ind w:firstLine="480" w:firstLineChars="200"/>
        <w:rPr>
          <w:rFonts w:hint="eastAsia" w:cs="宋体"/>
          <w:color w:val="000000"/>
          <w:kern w:val="2"/>
        </w:rPr>
      </w:pPr>
      <w:r>
        <w:rPr>
          <w:rFonts w:hint="eastAsia" w:cs="宋体"/>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4"/>
        <w:keepNext w:val="0"/>
        <w:keepLines w:val="0"/>
        <w:pageBreakBefore w:val="0"/>
        <w:kinsoku/>
        <w:wordWrap/>
        <w:topLinePunct w:val="0"/>
        <w:bidi w:val="0"/>
        <w:spacing w:before="0" w:beforeAutospacing="0" w:after="0" w:afterAutospacing="0" w:line="360" w:lineRule="auto"/>
        <w:ind w:firstLine="482" w:firstLineChars="200"/>
        <w:rPr>
          <w:rFonts w:hint="eastAsia" w:cs="宋体"/>
          <w:b/>
          <w:color w:val="000000"/>
          <w:kern w:val="2"/>
        </w:rPr>
      </w:pPr>
      <w:r>
        <w:rPr>
          <w:rFonts w:hint="eastAsia" w:cs="宋体"/>
          <w:b/>
          <w:color w:val="000000"/>
          <w:kern w:val="2"/>
        </w:rPr>
        <w:t>四、质量保证</w:t>
      </w:r>
    </w:p>
    <w:p>
      <w:pPr>
        <w:pStyle w:val="10"/>
        <w:keepNext w:val="0"/>
        <w:keepLines w:val="0"/>
        <w:pageBreakBefore w:val="0"/>
        <w:kinsoku/>
        <w:wordWrap/>
        <w:topLinePunct w:val="0"/>
        <w:bidi w:val="0"/>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1.本合同范围所列所涉及的服务均由乙方提供。</w:t>
      </w:r>
    </w:p>
    <w:p>
      <w:pPr>
        <w:pStyle w:val="10"/>
        <w:keepNext w:val="0"/>
        <w:keepLines w:val="0"/>
        <w:pageBreakBefore w:val="0"/>
        <w:kinsoku/>
        <w:wordWrap/>
        <w:topLinePunct w:val="0"/>
        <w:bidi w:val="0"/>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2.乙方拆装后的产品必须完全符合原厂质量检测标准和国家质量检测标准以及合同规定的质量规格和性能要求。</w:t>
      </w:r>
    </w:p>
    <w:p>
      <w:pPr>
        <w:pStyle w:val="10"/>
        <w:keepNext w:val="0"/>
        <w:keepLines w:val="0"/>
        <w:pageBreakBefore w:val="0"/>
        <w:kinsoku/>
        <w:wordWrap/>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hAnsi="宋体" w:cs="宋体"/>
          <w:color w:val="000000"/>
          <w:sz w:val="24"/>
          <w:szCs w:val="24"/>
        </w:rPr>
        <w:t>3.乙方提供的质量保证期为验收合格之后12个月。如因甲方原因导致不能及时安装的，产品的质保期自到货之日起 1 个月后开始计算。质保期内乙方提供</w:t>
      </w:r>
      <w:r>
        <w:rPr>
          <w:rFonts w:hint="eastAsia" w:ascii="宋体" w:hAnsi="宋体" w:eastAsia="宋体" w:cs="宋体"/>
          <w:color w:val="000000"/>
          <w:sz w:val="24"/>
          <w:szCs w:val="24"/>
        </w:rPr>
        <w:t>免费保修、技术支持和售后服务。</w:t>
      </w:r>
    </w:p>
    <w:p>
      <w:pPr>
        <w:pStyle w:val="10"/>
        <w:keepNext w:val="0"/>
        <w:keepLines w:val="0"/>
        <w:pageBreakBefore w:val="0"/>
        <w:kinsoku/>
        <w:wordWrap/>
        <w:topLinePunct w:val="0"/>
        <w:bidi w:val="0"/>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五、验收</w:t>
      </w:r>
    </w:p>
    <w:p>
      <w:pPr>
        <w:pStyle w:val="10"/>
        <w:keepNext w:val="0"/>
        <w:keepLines w:val="0"/>
        <w:pageBreakBefore w:val="0"/>
        <w:kinsoku/>
        <w:wordWrap/>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项目结束后，所有书架、展架、书籍、报刊等物品归回原位。甲乙双方共同验收，验收通过后双方签字确认。</w:t>
      </w:r>
    </w:p>
    <w:p>
      <w:pPr>
        <w:pStyle w:val="14"/>
        <w:keepNext w:val="0"/>
        <w:keepLines w:val="0"/>
        <w:pageBreakBefore w:val="0"/>
        <w:kinsoku/>
        <w:wordWrap/>
        <w:topLinePunct w:val="0"/>
        <w:bidi w:val="0"/>
        <w:spacing w:before="0" w:beforeAutospacing="0" w:after="0" w:afterAutospacing="0" w:line="360" w:lineRule="auto"/>
        <w:ind w:firstLine="482" w:firstLineChars="200"/>
        <w:rPr>
          <w:rFonts w:hint="eastAsia" w:cs="宋体"/>
          <w:b/>
          <w:kern w:val="2"/>
        </w:rPr>
      </w:pPr>
      <w:r>
        <w:rPr>
          <w:rFonts w:hint="eastAsia" w:cs="宋体"/>
          <w:b/>
          <w:kern w:val="2"/>
        </w:rPr>
        <w:t>六、交付时间</w:t>
      </w:r>
    </w:p>
    <w:p>
      <w:pPr>
        <w:pStyle w:val="7"/>
        <w:keepNext w:val="0"/>
        <w:keepLines w:val="0"/>
        <w:pageBreakBefore w:val="0"/>
        <w:tabs>
          <w:tab w:val="left" w:pos="297"/>
        </w:tabs>
        <w:kinsoku/>
        <w:wordWrap/>
        <w:topLinePunct w:val="0"/>
        <w:bidi w:val="0"/>
        <w:spacing w:after="0" w:line="360" w:lineRule="auto"/>
        <w:ind w:left="0" w:leftChars="0" w:firstLine="480" w:firstLineChars="200"/>
        <w:rPr>
          <w:rFonts w:hint="eastAsia" w:ascii="宋体" w:hAnsi="宋体" w:cs="宋体"/>
          <w:sz w:val="24"/>
        </w:rPr>
      </w:pPr>
      <w:r>
        <w:rPr>
          <w:rFonts w:hint="eastAsia" w:ascii="宋体" w:hAnsi="宋体" w:cs="宋体"/>
          <w:sz w:val="24"/>
        </w:rPr>
        <w:t>1.合同签订后</w:t>
      </w:r>
      <w:r>
        <w:rPr>
          <w:rFonts w:hint="eastAsia" w:ascii="宋体" w:hAnsi="宋体" w:eastAsia="宋体" w:cs="宋体"/>
          <w:b/>
          <w:bCs/>
          <w:sz w:val="24"/>
        </w:rPr>
        <w:t xml:space="preserve"> 20</w:t>
      </w:r>
      <w:r>
        <w:rPr>
          <w:rFonts w:hint="eastAsia" w:ascii="宋体" w:hAnsi="宋体" w:cs="宋体"/>
          <w:b/>
          <w:bCs/>
          <w:sz w:val="24"/>
          <w:lang w:val="en-US" w:eastAsia="zh-CN"/>
        </w:rPr>
        <w:t>天</w:t>
      </w:r>
      <w:r>
        <w:rPr>
          <w:rFonts w:hint="eastAsia" w:ascii="宋体" w:hAnsi="宋体" w:cs="宋体"/>
          <w:sz w:val="24"/>
        </w:rPr>
        <w:t>内完成第一阶段书架拆装、图书打包等服务，第二阶段根据图书馆改</w:t>
      </w:r>
      <w:r>
        <w:rPr>
          <w:rFonts w:hint="eastAsia" w:ascii="宋体" w:hAnsi="宋体" w:cs="宋体"/>
          <w:sz w:val="24"/>
          <w:lang w:eastAsia="zh-CN"/>
        </w:rPr>
        <w:t>建</w:t>
      </w:r>
      <w:r>
        <w:rPr>
          <w:rFonts w:hint="eastAsia" w:ascii="宋体" w:hAnsi="宋体" w:cs="宋体"/>
          <w:sz w:val="24"/>
        </w:rPr>
        <w:t>工程进度另行约定。</w:t>
      </w:r>
    </w:p>
    <w:p>
      <w:pPr>
        <w:pStyle w:val="7"/>
        <w:keepNext w:val="0"/>
        <w:keepLines w:val="0"/>
        <w:pageBreakBefore w:val="0"/>
        <w:tabs>
          <w:tab w:val="left" w:pos="297"/>
        </w:tabs>
        <w:kinsoku/>
        <w:wordWrap/>
        <w:topLinePunct w:val="0"/>
        <w:bidi w:val="0"/>
        <w:spacing w:after="0" w:line="360" w:lineRule="auto"/>
        <w:ind w:left="0" w:leftChars="0" w:firstLine="482" w:firstLineChars="200"/>
        <w:rPr>
          <w:rFonts w:hint="eastAsia" w:ascii="宋体" w:hAnsi="宋体" w:cs="宋体"/>
          <w:b/>
          <w:color w:val="000000"/>
          <w:sz w:val="24"/>
        </w:rPr>
      </w:pPr>
      <w:r>
        <w:rPr>
          <w:rFonts w:hint="eastAsia" w:ascii="宋体" w:hAnsi="宋体" w:cs="宋体"/>
          <w:b/>
          <w:color w:val="000000"/>
          <w:sz w:val="24"/>
        </w:rPr>
        <w:t>七、付款方式</w:t>
      </w:r>
    </w:p>
    <w:p>
      <w:pPr>
        <w:spacing w:line="360" w:lineRule="auto"/>
        <w:ind w:firstLine="480" w:firstLineChars="200"/>
        <w:rPr>
          <w:rFonts w:ascii="宋体" w:hAnsi="宋体"/>
          <w:color w:val="000000"/>
          <w:sz w:val="24"/>
          <w:highlight w:val="yellow"/>
        </w:rPr>
      </w:pPr>
      <w:r>
        <w:rPr>
          <w:rFonts w:hint="eastAsia" w:ascii="宋体" w:hAnsi="宋体" w:cs="宋体"/>
          <w:color w:val="000000"/>
          <w:sz w:val="24"/>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20%</w:t>
      </w:r>
      <w:r>
        <w:rPr>
          <w:rFonts w:hint="eastAsia" w:ascii="宋体" w:hAnsi="宋体" w:cs="宋体"/>
          <w:color w:val="000000" w:themeColor="text1"/>
          <w:sz w:val="24"/>
          <w:highlight w:val="yellow"/>
          <w:shd w:val="clear" w:color="auto" w:fill="FFFFFF"/>
          <w14:textFill>
            <w14:solidFill>
              <w14:schemeClr w14:val="tx1"/>
            </w14:solidFill>
          </w14:textFill>
        </w:rPr>
        <w:t>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keepNext w:val="0"/>
        <w:keepLines w:val="0"/>
        <w:pageBreakBefore w:val="0"/>
        <w:kinsoku/>
        <w:wordWrap/>
        <w:topLinePunct w:val="0"/>
        <w:bidi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2.由乙方开具正规发票。</w:t>
      </w:r>
    </w:p>
    <w:p>
      <w:pPr>
        <w:keepNext w:val="0"/>
        <w:keepLines w:val="0"/>
        <w:pageBreakBefore w:val="0"/>
        <w:kinsoku/>
        <w:wordWrap/>
        <w:topLinePunct w:val="0"/>
        <w:bidi w:val="0"/>
        <w:spacing w:line="360" w:lineRule="auto"/>
        <w:ind w:firstLine="720" w:firstLineChars="300"/>
        <w:rPr>
          <w:rFonts w:hint="eastAsia" w:ascii="宋体" w:hAnsi="宋体" w:cs="宋体"/>
          <w:color w:val="000000"/>
          <w:sz w:val="24"/>
        </w:rPr>
      </w:pPr>
      <w:r>
        <w:rPr>
          <w:rFonts w:hint="eastAsia" w:ascii="宋体" w:hAnsi="宋体" w:cs="宋体"/>
          <w:color w:val="000000"/>
          <w:sz w:val="24"/>
        </w:rPr>
        <w:t>乙方银行账户信息：</w:t>
      </w:r>
    </w:p>
    <w:p>
      <w:pPr>
        <w:keepNext w:val="0"/>
        <w:keepLines w:val="0"/>
        <w:pageBreakBefore w:val="0"/>
        <w:kinsoku/>
        <w:wordWrap/>
        <w:topLinePunct w:val="0"/>
        <w:bidi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开户银行：</w:t>
      </w:r>
    </w:p>
    <w:p>
      <w:pPr>
        <w:keepNext w:val="0"/>
        <w:keepLines w:val="0"/>
        <w:pageBreakBefore w:val="0"/>
        <w:kinsoku/>
        <w:wordWrap/>
        <w:topLinePunct w:val="0"/>
        <w:bidi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户    名：</w:t>
      </w:r>
    </w:p>
    <w:p>
      <w:pPr>
        <w:keepNext w:val="0"/>
        <w:keepLines w:val="0"/>
        <w:pageBreakBefore w:val="0"/>
        <w:kinsoku/>
        <w:wordWrap/>
        <w:topLinePunct w:val="0"/>
        <w:bidi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银行账号：</w:t>
      </w:r>
    </w:p>
    <w:p>
      <w:pPr>
        <w:pStyle w:val="14"/>
        <w:keepNext w:val="0"/>
        <w:keepLines w:val="0"/>
        <w:pageBreakBefore w:val="0"/>
        <w:tabs>
          <w:tab w:val="right" w:pos="8312"/>
        </w:tabs>
        <w:kinsoku/>
        <w:wordWrap/>
        <w:topLinePunct w:val="0"/>
        <w:bidi w:val="0"/>
        <w:spacing w:before="0" w:beforeAutospacing="0" w:after="0" w:afterAutospacing="0" w:line="360" w:lineRule="auto"/>
        <w:ind w:firstLine="482" w:firstLineChars="200"/>
        <w:rPr>
          <w:rFonts w:hint="eastAsia" w:cs="宋体"/>
          <w:b/>
          <w:color w:val="000000"/>
          <w:kern w:val="2"/>
        </w:rPr>
      </w:pPr>
      <w:r>
        <w:rPr>
          <w:rFonts w:hint="eastAsia" w:cs="宋体"/>
          <w:b/>
          <w:color w:val="000000"/>
          <w:kern w:val="2"/>
        </w:rPr>
        <w:t>八、违约责任</w:t>
      </w:r>
      <w:r>
        <w:rPr>
          <w:rFonts w:hint="eastAsia" w:cs="宋体"/>
          <w:b/>
          <w:color w:val="000000"/>
          <w:kern w:val="2"/>
        </w:rPr>
        <w:tab/>
      </w:r>
    </w:p>
    <w:p>
      <w:pPr>
        <w:pStyle w:val="10"/>
        <w:keepNext w:val="0"/>
        <w:keepLines w:val="0"/>
        <w:pageBreakBefore w:val="0"/>
        <w:kinsoku/>
        <w:wordWrap/>
        <w:topLinePunct w:val="0"/>
        <w:bidi w:val="0"/>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1.乙方逾期履行合同包括逾期交货，逾期安装验收，逾期提供售后服务的，自逾期之日起，向甲方每日偿付合同总价千分之二的滞纳金；乙方逾期30日不能交货的，甲方有权解除合同。</w:t>
      </w:r>
    </w:p>
    <w:p>
      <w:pPr>
        <w:pStyle w:val="10"/>
        <w:keepNext w:val="0"/>
        <w:keepLines w:val="0"/>
        <w:pageBreakBefore w:val="0"/>
        <w:widowControl w:val="0"/>
        <w:kinsoku/>
        <w:wordWrap/>
        <w:topLinePunct w:val="0"/>
        <w:bidi w:val="0"/>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2.因甲方原因逾期支付货款的，自逾期之日起，向乙方每日偿付合同总价千分之二的滞纳金；甲方无正当理由拒付货款达30日以上的，应承担合同付款责任。</w:t>
      </w:r>
    </w:p>
    <w:p>
      <w:pPr>
        <w:pStyle w:val="10"/>
        <w:keepNext w:val="0"/>
        <w:keepLines w:val="0"/>
        <w:pageBreakBefore w:val="0"/>
        <w:widowControl w:val="0"/>
        <w:kinsoku/>
        <w:wordWrap/>
        <w:topLinePunct w:val="0"/>
        <w:bidi w:val="0"/>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10"/>
        <w:keepNext w:val="0"/>
        <w:keepLines w:val="0"/>
        <w:pageBreakBefore w:val="0"/>
        <w:kinsoku/>
        <w:wordWrap/>
        <w:topLinePunct w:val="0"/>
        <w:bidi w:val="0"/>
        <w:snapToGrid w:val="0"/>
        <w:spacing w:line="360" w:lineRule="auto"/>
        <w:ind w:firstLine="482" w:firstLineChars="200"/>
        <w:rPr>
          <w:rFonts w:hint="eastAsia" w:hAnsi="宋体" w:cs="宋体"/>
          <w:b/>
          <w:color w:val="000000"/>
          <w:sz w:val="24"/>
        </w:rPr>
      </w:pPr>
      <w:r>
        <w:rPr>
          <w:rFonts w:hint="eastAsia" w:hAnsi="宋体" w:cs="宋体"/>
          <w:b/>
          <w:color w:val="000000"/>
          <w:sz w:val="24"/>
        </w:rPr>
        <w:t>九、不可抗力事件处理</w:t>
      </w:r>
    </w:p>
    <w:p>
      <w:pPr>
        <w:pStyle w:val="10"/>
        <w:keepNext w:val="0"/>
        <w:keepLines w:val="0"/>
        <w:pageBreakBefore w:val="0"/>
        <w:kinsoku/>
        <w:wordWrap/>
        <w:topLinePunct w:val="0"/>
        <w:bidi w:val="0"/>
        <w:snapToGrid w:val="0"/>
        <w:spacing w:line="360" w:lineRule="auto"/>
        <w:ind w:firstLine="480" w:firstLineChars="200"/>
        <w:rPr>
          <w:rFonts w:hint="eastAsia" w:hAnsi="宋体" w:cs="宋体"/>
          <w:color w:val="000000"/>
          <w:sz w:val="24"/>
        </w:rPr>
      </w:pPr>
      <w:r>
        <w:rPr>
          <w:rFonts w:hint="eastAsia" w:hAnsi="宋体" w:cs="宋体"/>
          <w:color w:val="000000"/>
          <w:sz w:val="24"/>
        </w:rPr>
        <w:t>1.在履行合同期限内，任何一方因不可抗力事件所至不能履行合同，则合同履行期可延长，延长期与不可抗力影响期相同。</w:t>
      </w:r>
    </w:p>
    <w:p>
      <w:pPr>
        <w:pStyle w:val="10"/>
        <w:keepNext w:val="0"/>
        <w:keepLines w:val="0"/>
        <w:pageBreakBefore w:val="0"/>
        <w:kinsoku/>
        <w:wordWrap/>
        <w:topLinePunct w:val="0"/>
        <w:bidi w:val="0"/>
        <w:snapToGrid w:val="0"/>
        <w:spacing w:line="360" w:lineRule="auto"/>
        <w:ind w:firstLine="480" w:firstLineChars="200"/>
        <w:rPr>
          <w:rFonts w:hint="eastAsia" w:hAnsi="宋体" w:cs="宋体"/>
          <w:color w:val="000000"/>
          <w:sz w:val="24"/>
        </w:rPr>
      </w:pPr>
      <w:r>
        <w:rPr>
          <w:rFonts w:hint="eastAsia" w:hAnsi="宋体" w:cs="宋体"/>
          <w:color w:val="000000"/>
          <w:sz w:val="24"/>
        </w:rPr>
        <w:t xml:space="preserve">2.不可抗力事件发生后，应立即通知对方，并寄送有关权威机构出具的证明。 </w:t>
      </w:r>
    </w:p>
    <w:p>
      <w:pPr>
        <w:pStyle w:val="10"/>
        <w:keepNext w:val="0"/>
        <w:keepLines w:val="0"/>
        <w:pageBreakBefore w:val="0"/>
        <w:kinsoku/>
        <w:wordWrap/>
        <w:topLinePunct w:val="0"/>
        <w:bidi w:val="0"/>
        <w:snapToGrid w:val="0"/>
        <w:spacing w:line="360" w:lineRule="auto"/>
        <w:ind w:firstLine="480" w:firstLineChars="200"/>
        <w:rPr>
          <w:rFonts w:hint="eastAsia" w:hAnsi="宋体" w:cs="宋体"/>
          <w:color w:val="000000"/>
          <w:sz w:val="24"/>
        </w:rPr>
      </w:pPr>
      <w:r>
        <w:rPr>
          <w:rFonts w:hint="eastAsia" w:hAnsi="宋体" w:cs="宋体"/>
          <w:color w:val="000000"/>
          <w:sz w:val="24"/>
        </w:rPr>
        <w:t>3.不可抗力事件延续60天以上，双方应通过友好协商，确定是否继续履行合同，协商不成的，任何一方均有权解除合同。</w:t>
      </w:r>
    </w:p>
    <w:p>
      <w:pPr>
        <w:pStyle w:val="10"/>
        <w:keepNext w:val="0"/>
        <w:keepLines w:val="0"/>
        <w:pageBreakBefore w:val="0"/>
        <w:kinsoku/>
        <w:wordWrap/>
        <w:topLinePunct w:val="0"/>
        <w:bidi w:val="0"/>
        <w:snapToGrid w:val="0"/>
        <w:spacing w:line="360" w:lineRule="auto"/>
        <w:ind w:firstLine="482" w:firstLineChars="200"/>
        <w:rPr>
          <w:rFonts w:hint="eastAsia" w:hAnsi="宋体" w:cs="宋体"/>
          <w:b/>
          <w:color w:val="000000"/>
          <w:sz w:val="24"/>
        </w:rPr>
      </w:pPr>
      <w:r>
        <w:rPr>
          <w:rFonts w:hint="eastAsia" w:hAnsi="宋体" w:cs="宋体"/>
          <w:b/>
          <w:color w:val="000000"/>
          <w:sz w:val="24"/>
        </w:rPr>
        <w:t>十、争议的解决</w:t>
      </w:r>
    </w:p>
    <w:p>
      <w:pPr>
        <w:pStyle w:val="23"/>
        <w:keepNext w:val="0"/>
        <w:keepLines w:val="0"/>
        <w:pageBreakBefore w:val="0"/>
        <w:kinsoku/>
        <w:wordWrap/>
        <w:topLinePunct w:val="0"/>
        <w:bidi w:val="0"/>
        <w:snapToGrid w:val="0"/>
        <w:spacing w:line="360" w:lineRule="auto"/>
        <w:ind w:firstLine="420" w:firstLineChars="200"/>
        <w:rPr>
          <w:rFonts w:hint="eastAsia" w:ascii="宋体" w:hAnsi="宋体" w:cs="宋体"/>
          <w:color w:val="000000"/>
          <w:szCs w:val="22"/>
        </w:rPr>
      </w:pPr>
      <w:r>
        <w:rPr>
          <w:rFonts w:hint="eastAsia" w:ascii="宋体" w:hAnsi="宋体" w:cs="宋体"/>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10"/>
        <w:keepNext w:val="0"/>
        <w:keepLines w:val="0"/>
        <w:pageBreakBefore w:val="0"/>
        <w:kinsoku/>
        <w:wordWrap/>
        <w:topLinePunct w:val="0"/>
        <w:bidi w:val="0"/>
        <w:snapToGrid w:val="0"/>
        <w:spacing w:line="360" w:lineRule="auto"/>
        <w:ind w:firstLine="482" w:firstLineChars="200"/>
        <w:rPr>
          <w:rFonts w:hint="eastAsia" w:hAnsi="宋体" w:cs="宋体"/>
          <w:b/>
          <w:color w:val="000000"/>
          <w:sz w:val="24"/>
        </w:rPr>
      </w:pPr>
      <w:r>
        <w:rPr>
          <w:rFonts w:hint="eastAsia" w:hAnsi="宋体" w:cs="宋体"/>
          <w:b/>
          <w:color w:val="000000"/>
          <w:sz w:val="24"/>
        </w:rPr>
        <w:t>十一、合同的生效</w:t>
      </w:r>
    </w:p>
    <w:p>
      <w:pPr>
        <w:pStyle w:val="10"/>
        <w:keepNext w:val="0"/>
        <w:keepLines w:val="0"/>
        <w:pageBreakBefore w:val="0"/>
        <w:kinsoku/>
        <w:wordWrap/>
        <w:topLinePunct w:val="0"/>
        <w:bidi w:val="0"/>
        <w:snapToGrid w:val="0"/>
        <w:spacing w:line="360" w:lineRule="auto"/>
        <w:ind w:firstLine="480" w:firstLineChars="200"/>
        <w:rPr>
          <w:rFonts w:hint="eastAsia" w:hAnsi="宋体" w:cs="宋体"/>
          <w:color w:val="000000"/>
          <w:sz w:val="24"/>
        </w:rPr>
      </w:pPr>
      <w:r>
        <w:rPr>
          <w:rFonts w:hint="eastAsia" w:hAnsi="宋体" w:cs="宋体"/>
          <w:color w:val="000000"/>
          <w:sz w:val="24"/>
        </w:rPr>
        <w:t>1.本合同经甲方、乙方法定代表人或其委托人签字并加盖双方公章后生效。</w:t>
      </w:r>
    </w:p>
    <w:p>
      <w:pPr>
        <w:pStyle w:val="14"/>
        <w:keepNext w:val="0"/>
        <w:keepLines w:val="0"/>
        <w:pageBreakBefore w:val="0"/>
        <w:kinsoku/>
        <w:wordWrap/>
        <w:topLinePunct w:val="0"/>
        <w:bidi w:val="0"/>
        <w:spacing w:before="0" w:beforeAutospacing="0" w:after="0" w:afterAutospacing="0" w:line="360" w:lineRule="auto"/>
        <w:ind w:firstLine="480" w:firstLineChars="200"/>
        <w:rPr>
          <w:rFonts w:hint="eastAsia" w:cs="宋体"/>
          <w:color w:val="000000"/>
          <w:kern w:val="2"/>
          <w:szCs w:val="22"/>
        </w:rPr>
      </w:pPr>
      <w:r>
        <w:rPr>
          <w:rFonts w:hint="eastAsia" w:cs="宋体"/>
          <w:color w:val="000000"/>
          <w:kern w:val="2"/>
          <w:szCs w:val="22"/>
        </w:rPr>
        <w:t>2.本合同一式伍份，甲、乙双方各执贰份，衢州市政府财政局采监处执壹份。</w:t>
      </w:r>
    </w:p>
    <w:p>
      <w:pPr>
        <w:keepNext w:val="0"/>
        <w:keepLines w:val="0"/>
        <w:pageBreakBefore w:val="0"/>
        <w:kinsoku/>
        <w:wordWrap/>
        <w:topLinePunct w:val="0"/>
        <w:bidi w:val="0"/>
        <w:spacing w:line="360" w:lineRule="auto"/>
        <w:rPr>
          <w:rFonts w:hint="eastAsia" w:ascii="宋体" w:hAnsi="宋体" w:cs="宋体"/>
          <w:color w:val="000000"/>
          <w:sz w:val="24"/>
          <w:szCs w:val="22"/>
        </w:rPr>
      </w:pPr>
      <w:r>
        <w:rPr>
          <w:rFonts w:hint="eastAsia" w:ascii="宋体" w:hAnsi="宋体" w:cs="宋体"/>
          <w:color w:val="000000"/>
          <w:sz w:val="24"/>
          <w:szCs w:val="22"/>
        </w:rPr>
        <w:t>　　甲方单位名称（公章）：　　 乙方单位名称（公章）：</w:t>
      </w:r>
    </w:p>
    <w:p>
      <w:pPr>
        <w:keepNext w:val="0"/>
        <w:keepLines w:val="0"/>
        <w:pageBreakBefore w:val="0"/>
        <w:kinsoku/>
        <w:wordWrap/>
        <w:topLinePunct w:val="0"/>
        <w:bidi w:val="0"/>
        <w:spacing w:line="360" w:lineRule="auto"/>
        <w:rPr>
          <w:rFonts w:hint="eastAsia" w:ascii="宋体" w:hAnsi="宋体" w:cs="宋体"/>
          <w:color w:val="000000"/>
          <w:sz w:val="24"/>
          <w:szCs w:val="22"/>
        </w:rPr>
      </w:pPr>
      <w:r>
        <w:rPr>
          <w:rFonts w:hint="eastAsia" w:ascii="宋体" w:hAnsi="宋体" w:cs="宋体"/>
          <w:color w:val="000000"/>
          <w:sz w:val="24"/>
          <w:szCs w:val="22"/>
        </w:rPr>
        <w:t>　　授权代表：　　　　　　   　授权代表：</w:t>
      </w:r>
    </w:p>
    <w:p>
      <w:pPr>
        <w:keepNext w:val="0"/>
        <w:keepLines w:val="0"/>
        <w:pageBreakBefore w:val="0"/>
        <w:kinsoku/>
        <w:wordWrap/>
        <w:topLinePunct w:val="0"/>
        <w:bidi w:val="0"/>
        <w:spacing w:line="360" w:lineRule="auto"/>
        <w:ind w:firstLine="480" w:firstLineChars="200"/>
        <w:jc w:val="right"/>
        <w:rPr>
          <w:rFonts w:hint="eastAsia" w:ascii="宋体" w:hAnsi="宋体" w:cs="宋体"/>
          <w:color w:val="000000"/>
          <w:sz w:val="24"/>
        </w:rPr>
      </w:pPr>
      <w:r>
        <w:rPr>
          <w:rFonts w:hint="eastAsia" w:ascii="宋体" w:hAnsi="宋体" w:cs="宋体"/>
          <w:color w:val="000000"/>
          <w:sz w:val="24"/>
        </w:rPr>
        <w:t>合同签订日期：　年　月　日</w:t>
      </w:r>
    </w:p>
    <w:p>
      <w:pPr>
        <w:keepNext w:val="0"/>
        <w:keepLines w:val="0"/>
        <w:pageBreakBefore w:val="0"/>
        <w:kinsoku/>
        <w:wordWrap/>
        <w:topLinePunct w:val="0"/>
        <w:bidi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本合同均为打印版本，未加盖甲方公章的手写部分无效。　　</w:t>
      </w:r>
    </w:p>
    <w:p>
      <w:pPr>
        <w:keepNext w:val="0"/>
        <w:keepLines w:val="0"/>
        <w:pageBreakBefore w:val="0"/>
        <w:kinsoku/>
        <w:wordWrap/>
        <w:topLinePunct w:val="0"/>
        <w:bidi w:val="0"/>
        <w:spacing w:line="360" w:lineRule="auto"/>
        <w:ind w:firstLine="640" w:firstLineChars="200"/>
        <w:jc w:val="center"/>
        <w:outlineLvl w:val="0"/>
        <w:rPr>
          <w:rFonts w:hint="eastAsia" w:ascii="宋体" w:hAnsi="宋体" w:cs="宋体"/>
          <w:color w:val="000000"/>
          <w:sz w:val="32"/>
        </w:rPr>
      </w:pPr>
    </w:p>
    <w:p>
      <w:pPr>
        <w:keepNext w:val="0"/>
        <w:keepLines w:val="0"/>
        <w:pageBreakBefore w:val="0"/>
        <w:kinsoku/>
        <w:wordWrap/>
        <w:topLinePunct w:val="0"/>
        <w:bidi w:val="0"/>
        <w:spacing w:line="360" w:lineRule="auto"/>
        <w:jc w:val="both"/>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both"/>
        <w:outlineLvl w:val="0"/>
        <w:rPr>
          <w:b/>
          <w:color w:val="000000"/>
          <w:sz w:val="32"/>
        </w:rPr>
      </w:pPr>
    </w:p>
    <w:p>
      <w:pPr>
        <w:pStyle w:val="2"/>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9" w:name="_Hlk41297247"/>
      <w:r>
        <w:rPr>
          <w:color w:val="000000"/>
          <w:sz w:val="24"/>
        </w:rPr>
        <w:t>，投标人应派代表参加询标</w:t>
      </w:r>
      <w:bookmarkEnd w:id="9"/>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4"/>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0"/>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0"/>
        <w:snapToGrid w:val="0"/>
        <w:spacing w:line="360" w:lineRule="auto"/>
        <w:ind w:firstLine="482"/>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w:t>
      </w:r>
      <w:r>
        <w:rPr>
          <w:rFonts w:hint="eastAsia" w:ascii="Times New Roman" w:hAnsi="Times New Roman"/>
          <w:color w:val="000000"/>
          <w:sz w:val="24"/>
          <w:lang w:val="en-US" w:eastAsia="zh-CN"/>
        </w:rPr>
        <w:t>投标</w:t>
      </w:r>
      <w:r>
        <w:rPr>
          <w:rFonts w:ascii="Times New Roman" w:hAnsi="Times New Roman"/>
          <w:color w:val="000000"/>
          <w:sz w:val="24"/>
        </w:rPr>
        <w:t>文件作无效处理，同时采购组织机构将该情况报同级财政部门，并视情作出相应处理。</w:t>
      </w:r>
    </w:p>
    <w:p>
      <w:pPr>
        <w:numPr>
          <w:ilvl w:val="0"/>
          <w:numId w:val="2"/>
        </w:numPr>
        <w:spacing w:line="360" w:lineRule="auto"/>
        <w:ind w:left="0" w:leftChars="0" w:firstLine="482" w:firstLineChars="200"/>
        <w:rPr>
          <w:b/>
          <w:color w:val="000000"/>
          <w:sz w:val="24"/>
        </w:rPr>
      </w:pPr>
      <w:r>
        <w:rPr>
          <w:b/>
          <w:color w:val="000000"/>
          <w:sz w:val="24"/>
        </w:rPr>
        <w:t>评定内容及评标标准</w:t>
      </w:r>
    </w:p>
    <w:tbl>
      <w:tblPr>
        <w:tblStyle w:val="17"/>
        <w:tblpPr w:leftFromText="180" w:rightFromText="180" w:vertAnchor="text" w:horzAnchor="page" w:tblpXSpec="center" w:tblpY="235"/>
        <w:tblOverlap w:val="never"/>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66"/>
        <w:gridCol w:w="643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69" w:type="dxa"/>
            <w:noWrap w:val="0"/>
            <w:vAlign w:val="center"/>
          </w:tcPr>
          <w:p>
            <w:pPr>
              <w:widowControl/>
              <w:spacing w:line="360" w:lineRule="exact"/>
              <w:jc w:val="center"/>
              <w:rPr>
                <w:rFonts w:hint="eastAsia" w:ascii="宋体" w:hAnsi="宋体" w:cs="宋体"/>
                <w:color w:val="auto"/>
                <w:szCs w:val="21"/>
              </w:rPr>
            </w:pPr>
            <w:r>
              <w:rPr>
                <w:rFonts w:hint="eastAsia" w:ascii="宋体" w:hAnsi="宋体" w:cs="宋体"/>
                <w:color w:val="auto"/>
                <w:szCs w:val="21"/>
              </w:rPr>
              <w:t>类  别</w:t>
            </w:r>
          </w:p>
        </w:tc>
        <w:tc>
          <w:tcPr>
            <w:tcW w:w="1166" w:type="dxa"/>
            <w:noWrap w:val="0"/>
            <w:vAlign w:val="center"/>
          </w:tcPr>
          <w:p>
            <w:pPr>
              <w:widowControl/>
              <w:spacing w:line="360" w:lineRule="exact"/>
              <w:jc w:val="center"/>
              <w:rPr>
                <w:rFonts w:hint="eastAsia" w:ascii="宋体" w:hAnsi="宋体" w:cs="宋体"/>
                <w:color w:val="auto"/>
                <w:szCs w:val="21"/>
              </w:rPr>
            </w:pPr>
            <w:r>
              <w:rPr>
                <w:rFonts w:hint="eastAsia" w:ascii="宋体" w:hAnsi="宋体" w:cs="宋体"/>
                <w:color w:val="auto"/>
                <w:szCs w:val="21"/>
              </w:rPr>
              <w:t>项  目</w:t>
            </w:r>
          </w:p>
        </w:tc>
        <w:tc>
          <w:tcPr>
            <w:tcW w:w="6436" w:type="dxa"/>
            <w:noWrap w:val="0"/>
            <w:vAlign w:val="center"/>
          </w:tcPr>
          <w:p>
            <w:pPr>
              <w:widowControl/>
              <w:spacing w:line="360" w:lineRule="exact"/>
              <w:jc w:val="center"/>
              <w:rPr>
                <w:rFonts w:hint="eastAsia" w:ascii="宋体" w:hAnsi="宋体" w:cs="宋体"/>
                <w:color w:val="auto"/>
                <w:szCs w:val="21"/>
              </w:rPr>
            </w:pPr>
            <w:r>
              <w:rPr>
                <w:rFonts w:hint="eastAsia" w:ascii="宋体" w:hAnsi="宋体" w:cs="宋体"/>
                <w:color w:val="auto"/>
                <w:szCs w:val="21"/>
              </w:rPr>
              <w:t>具体描述评分细则及标准</w:t>
            </w:r>
          </w:p>
        </w:tc>
        <w:tc>
          <w:tcPr>
            <w:tcW w:w="899" w:type="dxa"/>
            <w:noWrap w:val="0"/>
            <w:vAlign w:val="center"/>
          </w:tcPr>
          <w:p>
            <w:pPr>
              <w:widowControl/>
              <w:spacing w:line="360" w:lineRule="exact"/>
              <w:rPr>
                <w:rFonts w:hint="eastAsia" w:ascii="宋体" w:hAnsi="宋体" w:cs="宋体"/>
                <w:color w:val="auto"/>
                <w:szCs w:val="21"/>
              </w:rPr>
            </w:pPr>
            <w:r>
              <w:rPr>
                <w:rFonts w:hint="eastAsia" w:ascii="宋体" w:hAnsi="宋体" w:cs="宋体"/>
                <w:color w:val="auto"/>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869" w:type="dxa"/>
            <w:noWrap w:val="0"/>
            <w:vAlign w:val="center"/>
          </w:tcPr>
          <w:p>
            <w:pPr>
              <w:widowControl/>
              <w:spacing w:line="360" w:lineRule="exact"/>
              <w:jc w:val="center"/>
              <w:rPr>
                <w:rFonts w:hint="eastAsia" w:ascii="宋体" w:hAnsi="宋体" w:cs="宋体"/>
                <w:color w:val="auto"/>
                <w:szCs w:val="21"/>
              </w:rPr>
            </w:pPr>
            <w:r>
              <w:rPr>
                <w:rFonts w:hint="eastAsia" w:ascii="宋体" w:hAnsi="宋体" w:cs="宋体"/>
                <w:color w:val="auto"/>
                <w:szCs w:val="21"/>
              </w:rPr>
              <w:t>报价</w:t>
            </w:r>
          </w:p>
          <w:p>
            <w:pPr>
              <w:widowControl/>
              <w:spacing w:line="360" w:lineRule="exact"/>
              <w:jc w:val="center"/>
              <w:rPr>
                <w:rFonts w:hint="eastAsia" w:ascii="宋体" w:hAnsi="宋体" w:cs="宋体"/>
                <w:color w:val="auto"/>
                <w:szCs w:val="21"/>
              </w:rPr>
            </w:pPr>
            <w:r>
              <w:rPr>
                <w:rFonts w:hint="eastAsia" w:ascii="宋体" w:hAnsi="宋体" w:cs="宋体"/>
                <w:color w:val="auto"/>
                <w:szCs w:val="21"/>
              </w:rPr>
              <w:t>得分</w:t>
            </w:r>
          </w:p>
          <w:p>
            <w:pPr>
              <w:widowControl/>
              <w:spacing w:line="360" w:lineRule="exact"/>
              <w:jc w:val="center"/>
              <w:rPr>
                <w:rFonts w:hint="eastAsia" w:ascii="宋体" w:hAnsi="宋体" w:cs="宋体"/>
                <w:color w:val="auto"/>
                <w:szCs w:val="21"/>
              </w:rPr>
            </w:pPr>
            <w:r>
              <w:rPr>
                <w:rFonts w:hint="eastAsia" w:ascii="宋体" w:hAnsi="宋体" w:cs="宋体"/>
                <w:color w:val="auto"/>
                <w:szCs w:val="21"/>
              </w:rPr>
              <w:t>30分</w:t>
            </w:r>
          </w:p>
        </w:tc>
        <w:tc>
          <w:tcPr>
            <w:tcW w:w="1166" w:type="dxa"/>
            <w:noWrap w:val="0"/>
            <w:vAlign w:val="center"/>
          </w:tcPr>
          <w:p>
            <w:pPr>
              <w:widowControl/>
              <w:spacing w:line="360" w:lineRule="exact"/>
              <w:jc w:val="center"/>
              <w:rPr>
                <w:rFonts w:hint="eastAsia" w:ascii="宋体" w:hAnsi="宋体" w:cs="宋体"/>
                <w:color w:val="auto"/>
                <w:szCs w:val="21"/>
              </w:rPr>
            </w:pPr>
            <w:r>
              <w:rPr>
                <w:rFonts w:hint="eastAsia" w:ascii="宋体" w:hAnsi="宋体" w:cs="宋体"/>
                <w:color w:val="auto"/>
                <w:szCs w:val="21"/>
              </w:rPr>
              <w:t>报  价</w:t>
            </w:r>
          </w:p>
        </w:tc>
        <w:tc>
          <w:tcPr>
            <w:tcW w:w="6436" w:type="dxa"/>
            <w:noWrap w:val="0"/>
            <w:vAlign w:val="center"/>
          </w:tcPr>
          <w:p>
            <w:pPr>
              <w:spacing w:line="360" w:lineRule="exact"/>
              <w:jc w:val="left"/>
              <w:rPr>
                <w:rFonts w:hint="eastAsia" w:ascii="宋体" w:hAnsi="宋体" w:cs="宋体"/>
                <w:color w:val="auto"/>
                <w:szCs w:val="21"/>
              </w:rPr>
            </w:pPr>
            <w:r>
              <w:rPr>
                <w:rFonts w:hint="eastAsia" w:ascii="宋体" w:hAnsi="宋体" w:cs="宋体"/>
                <w:b/>
                <w:bCs/>
                <w:color w:val="auto"/>
                <w:szCs w:val="21"/>
              </w:rPr>
              <w:t>本次采购项目预算：1</w:t>
            </w:r>
            <w:r>
              <w:rPr>
                <w:rFonts w:hint="eastAsia" w:ascii="宋体" w:hAnsi="宋体" w:cs="宋体"/>
                <w:b/>
                <w:bCs/>
                <w:color w:val="auto"/>
                <w:szCs w:val="21"/>
                <w:lang w:val="en-US" w:eastAsia="zh-CN"/>
              </w:rPr>
              <w:t>20</w:t>
            </w:r>
            <w:r>
              <w:rPr>
                <w:rFonts w:hint="eastAsia" w:ascii="宋体" w:hAnsi="宋体" w:cs="宋体"/>
                <w:b/>
                <w:bCs/>
                <w:color w:val="auto"/>
                <w:szCs w:val="21"/>
              </w:rPr>
              <w:t>万元</w:t>
            </w:r>
            <w:r>
              <w:rPr>
                <w:rFonts w:hint="eastAsia" w:ascii="宋体" w:hAnsi="宋体" w:cs="宋体"/>
                <w:color w:val="auto"/>
                <w:szCs w:val="21"/>
              </w:rPr>
              <w:t>。基准价为所有</w:t>
            </w:r>
            <w:r>
              <w:rPr>
                <w:rFonts w:hint="eastAsia" w:ascii="宋体" w:hAnsi="宋体" w:cs="宋体"/>
                <w:color w:val="auto"/>
                <w:szCs w:val="21"/>
                <w:lang w:val="en-US" w:eastAsia="zh-CN"/>
              </w:rPr>
              <w:t>投标</w:t>
            </w:r>
            <w:r>
              <w:rPr>
                <w:rFonts w:hint="eastAsia" w:ascii="宋体" w:hAnsi="宋体" w:cs="宋体"/>
                <w:color w:val="auto"/>
                <w:szCs w:val="21"/>
              </w:rPr>
              <w:t>人有效报价的最低价，投标报价得分=(基准价/投标报价)×30，四舍五入，保留两位小数。报价高于预算价格的，为无效投标文件。</w:t>
            </w:r>
          </w:p>
        </w:tc>
        <w:tc>
          <w:tcPr>
            <w:tcW w:w="899" w:type="dxa"/>
            <w:noWrap w:val="0"/>
            <w:vAlign w:val="center"/>
          </w:tcPr>
          <w:p>
            <w:pPr>
              <w:widowControl/>
              <w:spacing w:line="360" w:lineRule="exact"/>
              <w:jc w:val="center"/>
              <w:rPr>
                <w:rFonts w:hint="eastAsia" w:ascii="宋体" w:hAnsi="宋体" w:cs="宋体"/>
                <w:color w:val="auto"/>
                <w:szCs w:val="21"/>
              </w:rPr>
            </w:pPr>
            <w:r>
              <w:rPr>
                <w:rFonts w:hint="eastAsia" w:ascii="宋体" w:hAnsi="宋体" w:cs="宋体"/>
                <w:color w:val="auto"/>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69" w:type="dxa"/>
            <w:vMerge w:val="restart"/>
            <w:tcBorders>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szCs w:val="21"/>
              </w:rPr>
            </w:pPr>
            <w:r>
              <w:rPr>
                <w:rFonts w:hint="eastAsia" w:ascii="宋体" w:hAnsi="宋体" w:cs="宋体"/>
                <w:color w:val="auto"/>
                <w:szCs w:val="21"/>
              </w:rPr>
              <w:t>技术</w:t>
            </w:r>
          </w:p>
          <w:p>
            <w:pPr>
              <w:widowControl/>
              <w:spacing w:line="360" w:lineRule="exact"/>
              <w:jc w:val="center"/>
              <w:rPr>
                <w:rFonts w:hint="eastAsia" w:ascii="宋体" w:hAnsi="宋体" w:cs="宋体"/>
                <w:color w:val="auto"/>
                <w:szCs w:val="21"/>
              </w:rPr>
            </w:pPr>
            <w:r>
              <w:rPr>
                <w:rFonts w:hint="eastAsia" w:ascii="宋体" w:hAnsi="宋体" w:cs="宋体"/>
                <w:color w:val="auto"/>
                <w:szCs w:val="21"/>
              </w:rPr>
              <w:t>方案</w:t>
            </w:r>
          </w:p>
          <w:p>
            <w:pPr>
              <w:widowControl/>
              <w:spacing w:line="360" w:lineRule="exact"/>
              <w:jc w:val="center"/>
              <w:rPr>
                <w:rFonts w:hint="eastAsia" w:ascii="宋体" w:hAnsi="宋体" w:cs="宋体"/>
                <w:color w:val="auto"/>
                <w:szCs w:val="21"/>
              </w:rPr>
            </w:pPr>
            <w:r>
              <w:rPr>
                <w:rFonts w:hint="eastAsia" w:ascii="宋体" w:hAnsi="宋体" w:cs="宋体"/>
                <w:color w:val="auto"/>
                <w:szCs w:val="21"/>
              </w:rPr>
              <w:t>70分</w:t>
            </w:r>
          </w:p>
        </w:tc>
        <w:tc>
          <w:tcPr>
            <w:tcW w:w="1166"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szCs w:val="21"/>
              </w:rPr>
            </w:pPr>
            <w:r>
              <w:rPr>
                <w:rFonts w:hint="eastAsia" w:ascii="宋体" w:hAnsi="宋体" w:cs="宋体"/>
                <w:color w:val="auto"/>
                <w:szCs w:val="21"/>
              </w:rPr>
              <w:t>同类项目</w:t>
            </w:r>
          </w:p>
          <w:p>
            <w:pPr>
              <w:widowControl/>
              <w:spacing w:line="360" w:lineRule="auto"/>
              <w:jc w:val="center"/>
              <w:rPr>
                <w:rFonts w:hint="eastAsia" w:ascii="宋体" w:hAnsi="宋体" w:cs="宋体"/>
                <w:color w:val="auto"/>
                <w:szCs w:val="21"/>
              </w:rPr>
            </w:pPr>
            <w:r>
              <w:rPr>
                <w:rFonts w:hint="eastAsia" w:ascii="宋体" w:hAnsi="宋体" w:cs="宋体"/>
                <w:color w:val="auto"/>
                <w:szCs w:val="21"/>
              </w:rPr>
              <w:t>实施经验</w:t>
            </w:r>
          </w:p>
        </w:tc>
        <w:tc>
          <w:tcPr>
            <w:tcW w:w="6436" w:type="dxa"/>
            <w:tcBorders>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投标人自2019年1月1日以来至今（以合同签订时间为准）同类项目成功实施案例：每提供一个有效合同原件的扫描件得1分，最高得3分。（0-3分）</w:t>
            </w:r>
          </w:p>
        </w:tc>
        <w:tc>
          <w:tcPr>
            <w:tcW w:w="899" w:type="dxa"/>
            <w:tcBorders>
              <w:left w:val="single" w:color="auto" w:sz="4" w:space="0"/>
              <w:bottom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69" w:type="dxa"/>
            <w:vMerge w:val="continue"/>
            <w:tcBorders>
              <w:right w:val="single" w:color="auto" w:sz="4" w:space="0"/>
            </w:tcBorders>
            <w:noWrap w:val="0"/>
            <w:vAlign w:val="center"/>
          </w:tcPr>
          <w:p>
            <w:pPr>
              <w:widowControl/>
              <w:spacing w:line="360" w:lineRule="exact"/>
              <w:jc w:val="center"/>
              <w:rPr>
                <w:rFonts w:hint="eastAsia" w:ascii="宋体" w:hAnsi="宋体" w:cs="宋体"/>
                <w:color w:val="auto"/>
                <w:szCs w:val="21"/>
              </w:rPr>
            </w:pPr>
          </w:p>
        </w:tc>
        <w:tc>
          <w:tcPr>
            <w:tcW w:w="1166" w:type="dxa"/>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Cs w:val="21"/>
              </w:rPr>
            </w:pPr>
            <w:r>
              <w:rPr>
                <w:rFonts w:hint="eastAsia" w:ascii="宋体" w:hAnsi="宋体" w:cs="宋体"/>
                <w:color w:val="auto"/>
                <w:szCs w:val="21"/>
              </w:rPr>
              <w:t>搬迁实施方案</w:t>
            </w:r>
          </w:p>
        </w:tc>
        <w:tc>
          <w:tcPr>
            <w:tcW w:w="6436" w:type="dxa"/>
            <w:tcBorders>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lang w:eastAsia="zh-CN"/>
              </w:rPr>
            </w:pPr>
            <w:r>
              <w:rPr>
                <w:rFonts w:hint="eastAsia" w:ascii="宋体" w:hAnsi="宋体" w:cs="宋体"/>
                <w:color w:val="auto"/>
                <w:szCs w:val="21"/>
              </w:rPr>
              <w:t>对比</w:t>
            </w:r>
            <w:r>
              <w:rPr>
                <w:rFonts w:hint="eastAsia" w:ascii="宋体" w:hAnsi="宋体" w:cs="宋体"/>
                <w:color w:val="auto"/>
                <w:szCs w:val="21"/>
                <w:lang w:val="en-US" w:eastAsia="zh-CN"/>
              </w:rPr>
              <w:t>投标</w:t>
            </w:r>
            <w:r>
              <w:rPr>
                <w:rFonts w:hint="eastAsia" w:ascii="宋体" w:hAnsi="宋体" w:cs="宋体"/>
                <w:color w:val="auto"/>
                <w:szCs w:val="21"/>
              </w:rPr>
              <w:t>人的图书搬迁总体设计方案，从方案科学性，可行性，整体思路是否明确，内容是否完整进行比较：方案全面、详细、可行</w:t>
            </w:r>
            <w:r>
              <w:rPr>
                <w:rFonts w:hint="eastAsia" w:ascii="宋体" w:hAnsi="宋体" w:cs="宋体"/>
                <w:color w:val="auto"/>
                <w:szCs w:val="21"/>
                <w:lang w:val="en-US" w:eastAsia="zh-CN"/>
              </w:rPr>
              <w:t>的12-18</w:t>
            </w:r>
            <w:r>
              <w:rPr>
                <w:rFonts w:hint="eastAsia" w:ascii="宋体" w:hAnsi="宋体" w:cs="宋体"/>
                <w:color w:val="auto"/>
                <w:szCs w:val="21"/>
              </w:rPr>
              <w:t>分；方案可行，但</w:t>
            </w:r>
            <w:r>
              <w:rPr>
                <w:rFonts w:hint="eastAsia" w:ascii="宋体" w:hAnsi="宋体" w:cs="宋体"/>
                <w:color w:val="auto"/>
                <w:szCs w:val="21"/>
                <w:lang w:val="en-US" w:eastAsia="zh-CN"/>
              </w:rPr>
              <w:t>科学性、可行性一般的6</w:t>
            </w:r>
            <w:r>
              <w:rPr>
                <w:rFonts w:hint="eastAsia" w:ascii="宋体" w:hAnsi="宋体" w:cs="宋体"/>
                <w:color w:val="auto"/>
                <w:szCs w:val="21"/>
              </w:rPr>
              <w:t>-</w:t>
            </w:r>
            <w:r>
              <w:rPr>
                <w:rFonts w:hint="eastAsia" w:ascii="宋体" w:hAnsi="宋体" w:cs="宋体"/>
                <w:color w:val="auto"/>
                <w:szCs w:val="21"/>
                <w:lang w:val="en-US" w:eastAsia="zh-CN"/>
              </w:rPr>
              <w:t>12（不含12）</w:t>
            </w:r>
            <w:r>
              <w:rPr>
                <w:rFonts w:hint="eastAsia" w:ascii="宋体" w:hAnsi="宋体" w:cs="宋体"/>
                <w:color w:val="auto"/>
                <w:szCs w:val="21"/>
              </w:rPr>
              <w:t>分；</w:t>
            </w:r>
            <w:r>
              <w:rPr>
                <w:rFonts w:hint="eastAsia" w:ascii="宋体" w:hAnsi="宋体" w:cs="宋体"/>
                <w:color w:val="auto"/>
                <w:szCs w:val="21"/>
                <w:lang w:val="en-US" w:eastAsia="zh-CN"/>
              </w:rPr>
              <w:t>方案可行性差的0</w:t>
            </w:r>
            <w:r>
              <w:rPr>
                <w:rFonts w:hint="eastAsia" w:ascii="宋体" w:hAnsi="宋体" w:cs="宋体"/>
                <w:color w:val="auto"/>
                <w:szCs w:val="21"/>
              </w:rPr>
              <w:t>-</w:t>
            </w:r>
            <w:r>
              <w:rPr>
                <w:rFonts w:hint="eastAsia" w:ascii="宋体" w:hAnsi="宋体" w:cs="宋体"/>
                <w:color w:val="auto"/>
                <w:szCs w:val="21"/>
                <w:lang w:val="en-US" w:eastAsia="zh-CN"/>
              </w:rPr>
              <w:t>6（不含6）</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0-18分</w:t>
            </w:r>
            <w:r>
              <w:rPr>
                <w:rFonts w:hint="eastAsia" w:ascii="宋体" w:hAnsi="宋体" w:cs="宋体"/>
                <w:color w:val="auto"/>
                <w:szCs w:val="21"/>
                <w:lang w:eastAsia="zh-CN"/>
              </w:rPr>
              <w:t>）</w:t>
            </w:r>
          </w:p>
        </w:tc>
        <w:tc>
          <w:tcPr>
            <w:tcW w:w="899" w:type="dxa"/>
            <w:tcBorders>
              <w:left w:val="single" w:color="auto" w:sz="4" w:space="0"/>
              <w:bottom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18</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69" w:type="dxa"/>
            <w:vMerge w:val="continue"/>
            <w:tcBorders>
              <w:right w:val="single" w:color="auto" w:sz="4" w:space="0"/>
            </w:tcBorders>
            <w:noWrap w:val="0"/>
            <w:vAlign w:val="center"/>
          </w:tcPr>
          <w:p>
            <w:pPr>
              <w:widowControl/>
              <w:spacing w:line="360" w:lineRule="exact"/>
              <w:jc w:val="center"/>
              <w:rPr>
                <w:rFonts w:hint="eastAsia" w:ascii="宋体" w:hAnsi="宋体" w:cs="宋体"/>
                <w:color w:val="auto"/>
                <w:szCs w:val="21"/>
              </w:rPr>
            </w:pPr>
          </w:p>
        </w:tc>
        <w:tc>
          <w:tcPr>
            <w:tcW w:w="1166" w:type="dxa"/>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Cs w:val="21"/>
              </w:rPr>
            </w:pPr>
            <w:r>
              <w:rPr>
                <w:rFonts w:hint="eastAsia" w:ascii="宋体" w:hAnsi="宋体" w:cs="宋体"/>
                <w:color w:val="auto"/>
                <w:szCs w:val="21"/>
              </w:rPr>
              <w:t>图书保护</w:t>
            </w:r>
          </w:p>
          <w:p>
            <w:pPr>
              <w:widowControl/>
              <w:spacing w:line="360" w:lineRule="auto"/>
              <w:jc w:val="center"/>
              <w:rPr>
                <w:rFonts w:hint="eastAsia" w:ascii="宋体" w:hAnsi="宋体" w:cs="宋体"/>
                <w:color w:val="auto"/>
                <w:szCs w:val="21"/>
              </w:rPr>
            </w:pPr>
            <w:r>
              <w:rPr>
                <w:rFonts w:hint="eastAsia" w:ascii="宋体" w:hAnsi="宋体" w:cs="宋体"/>
                <w:color w:val="auto"/>
                <w:szCs w:val="21"/>
              </w:rPr>
              <w:t>措施</w:t>
            </w:r>
          </w:p>
        </w:tc>
        <w:tc>
          <w:tcPr>
            <w:tcW w:w="6436" w:type="dxa"/>
            <w:tcBorders>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lang w:eastAsia="zh-CN"/>
              </w:rPr>
            </w:pPr>
            <w:r>
              <w:rPr>
                <w:rFonts w:hint="eastAsia" w:ascii="宋体" w:hAnsi="宋体" w:cs="宋体"/>
                <w:color w:val="auto"/>
                <w:szCs w:val="21"/>
              </w:rPr>
              <w:t>对比各投标人搬迁过程中图书的保护措施方案的科学性、合理性等进行综合比较：方案全面、详细、合理</w:t>
            </w:r>
            <w:r>
              <w:rPr>
                <w:rFonts w:hint="eastAsia" w:ascii="宋体" w:hAnsi="宋体" w:cs="宋体"/>
                <w:color w:val="auto"/>
                <w:szCs w:val="21"/>
                <w:lang w:val="en-US" w:eastAsia="zh-CN"/>
              </w:rPr>
              <w:t>的</w:t>
            </w:r>
            <w:r>
              <w:rPr>
                <w:rFonts w:hint="eastAsia" w:ascii="宋体" w:hAnsi="宋体" w:cs="宋体"/>
                <w:color w:val="auto"/>
                <w:szCs w:val="21"/>
              </w:rPr>
              <w:t>11-15分；方案</w:t>
            </w:r>
            <w:r>
              <w:rPr>
                <w:rFonts w:hint="eastAsia" w:ascii="宋体" w:hAnsi="宋体" w:cs="宋体"/>
                <w:color w:val="auto"/>
                <w:szCs w:val="21"/>
                <w:lang w:val="en-US" w:eastAsia="zh-CN"/>
              </w:rPr>
              <w:t>合理性一般的</w:t>
            </w:r>
            <w:r>
              <w:rPr>
                <w:rFonts w:hint="eastAsia" w:ascii="宋体" w:hAnsi="宋体" w:cs="宋体"/>
                <w:color w:val="auto"/>
                <w:szCs w:val="21"/>
              </w:rPr>
              <w:t>6-</w:t>
            </w:r>
            <w:r>
              <w:rPr>
                <w:rFonts w:hint="eastAsia" w:ascii="宋体" w:hAnsi="宋体" w:cs="宋体"/>
                <w:color w:val="auto"/>
                <w:szCs w:val="21"/>
                <w:lang w:val="en-US" w:eastAsia="zh-CN"/>
              </w:rPr>
              <w:t>11（不含11）</w:t>
            </w:r>
            <w:r>
              <w:rPr>
                <w:rFonts w:hint="eastAsia" w:ascii="宋体" w:hAnsi="宋体" w:cs="宋体"/>
                <w:color w:val="auto"/>
                <w:szCs w:val="21"/>
              </w:rPr>
              <w:t>分；</w:t>
            </w:r>
            <w:r>
              <w:rPr>
                <w:rFonts w:hint="eastAsia" w:ascii="宋体" w:hAnsi="宋体" w:cs="宋体"/>
                <w:color w:val="auto"/>
                <w:szCs w:val="21"/>
                <w:lang w:val="en-US" w:eastAsia="zh-CN"/>
              </w:rPr>
              <w:t>方案合理性差的0-6（不含6）</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0-15分</w:t>
            </w:r>
            <w:r>
              <w:rPr>
                <w:rFonts w:hint="eastAsia" w:ascii="宋体" w:hAnsi="宋体" w:cs="宋体"/>
                <w:color w:val="auto"/>
                <w:szCs w:val="21"/>
                <w:lang w:eastAsia="zh-CN"/>
              </w:rPr>
              <w:t>）</w:t>
            </w:r>
          </w:p>
        </w:tc>
        <w:tc>
          <w:tcPr>
            <w:tcW w:w="899" w:type="dxa"/>
            <w:tcBorders>
              <w:left w:val="single" w:color="auto" w:sz="4" w:space="0"/>
              <w:bottom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69" w:type="dxa"/>
            <w:vMerge w:val="continue"/>
            <w:tcBorders>
              <w:right w:val="single" w:color="auto" w:sz="4" w:space="0"/>
            </w:tcBorders>
            <w:noWrap w:val="0"/>
            <w:vAlign w:val="center"/>
          </w:tcPr>
          <w:p>
            <w:pPr>
              <w:widowControl/>
              <w:spacing w:line="360" w:lineRule="exact"/>
              <w:jc w:val="center"/>
              <w:rPr>
                <w:rFonts w:hint="eastAsia" w:ascii="宋体" w:hAnsi="宋体" w:cs="宋体"/>
                <w:color w:val="auto"/>
                <w:szCs w:val="21"/>
              </w:rPr>
            </w:pPr>
          </w:p>
        </w:tc>
        <w:tc>
          <w:tcPr>
            <w:tcW w:w="1166" w:type="dxa"/>
            <w:tcBorders>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auto"/>
                <w:szCs w:val="21"/>
              </w:rPr>
            </w:pPr>
            <w:r>
              <w:rPr>
                <w:rFonts w:hint="eastAsia" w:ascii="宋体" w:hAnsi="宋体" w:cs="宋体"/>
                <w:color w:val="auto"/>
                <w:szCs w:val="21"/>
              </w:rPr>
              <w:t>项目实施计划及进度</w:t>
            </w:r>
          </w:p>
        </w:tc>
        <w:tc>
          <w:tcPr>
            <w:tcW w:w="6436" w:type="dxa"/>
            <w:tcBorders>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lang w:eastAsia="zh-CN"/>
              </w:rPr>
            </w:pPr>
            <w:r>
              <w:rPr>
                <w:rFonts w:hint="eastAsia" w:ascii="宋体" w:hAnsi="宋体" w:cs="宋体"/>
                <w:color w:val="auto"/>
                <w:szCs w:val="21"/>
              </w:rPr>
              <w:t>项目具体实施计划及进度。对其计划及进度安排时候合理、可行，是否满足</w:t>
            </w:r>
            <w:r>
              <w:rPr>
                <w:rFonts w:hint="eastAsia" w:ascii="宋体" w:hAnsi="宋体" w:cs="宋体"/>
                <w:color w:val="auto"/>
                <w:szCs w:val="21"/>
                <w:lang w:eastAsia="zh-CN"/>
              </w:rPr>
              <w:t>图书馆内部改建</w:t>
            </w:r>
            <w:r>
              <w:rPr>
                <w:rFonts w:hint="eastAsia" w:ascii="宋体" w:hAnsi="宋体" w:cs="宋体"/>
                <w:color w:val="auto"/>
                <w:szCs w:val="21"/>
              </w:rPr>
              <w:t>工程施工进度要求，酌情打分。进度安排合理，实施计划合理的</w:t>
            </w:r>
            <w:r>
              <w:rPr>
                <w:rFonts w:hint="eastAsia" w:ascii="宋体" w:hAnsi="宋体" w:cs="宋体"/>
                <w:color w:val="auto"/>
                <w:szCs w:val="21"/>
                <w:lang w:val="en-US" w:eastAsia="zh-CN"/>
              </w:rPr>
              <w:t>10</w:t>
            </w:r>
            <w:r>
              <w:rPr>
                <w:rFonts w:hint="eastAsia" w:ascii="宋体" w:hAnsi="宋体" w:cs="宋体"/>
                <w:color w:val="auto"/>
                <w:szCs w:val="21"/>
              </w:rPr>
              <w:t>-1</w:t>
            </w:r>
            <w:r>
              <w:rPr>
                <w:rFonts w:hint="eastAsia" w:ascii="宋体" w:hAnsi="宋体" w:cs="宋体"/>
                <w:color w:val="auto"/>
                <w:szCs w:val="21"/>
                <w:lang w:val="en-US" w:eastAsia="zh-CN"/>
              </w:rPr>
              <w:t>3</w:t>
            </w:r>
            <w:r>
              <w:rPr>
                <w:rFonts w:hint="eastAsia" w:ascii="宋体" w:hAnsi="宋体" w:cs="宋体"/>
                <w:color w:val="auto"/>
                <w:szCs w:val="21"/>
              </w:rPr>
              <w:t>分；进度安排、实施计划一般的5-</w:t>
            </w:r>
            <w:r>
              <w:rPr>
                <w:rFonts w:hint="eastAsia" w:ascii="宋体" w:hAnsi="宋体" w:cs="宋体"/>
                <w:color w:val="auto"/>
                <w:szCs w:val="21"/>
                <w:lang w:val="en-US" w:eastAsia="zh-CN"/>
              </w:rPr>
              <w:t>10（不含10）</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rPr>
              <w:t>实施计划不合理，进度缓慢的</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5（不含5）</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0-13分</w:t>
            </w:r>
            <w:r>
              <w:rPr>
                <w:rFonts w:hint="eastAsia" w:ascii="宋体" w:hAnsi="宋体" w:cs="宋体"/>
                <w:color w:val="auto"/>
                <w:szCs w:val="21"/>
                <w:lang w:eastAsia="zh-CN"/>
              </w:rPr>
              <w:t>）</w:t>
            </w:r>
          </w:p>
        </w:tc>
        <w:tc>
          <w:tcPr>
            <w:tcW w:w="899" w:type="dxa"/>
            <w:tcBorders>
              <w:left w:val="single" w:color="auto" w:sz="4" w:space="0"/>
              <w:bottom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3</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69" w:type="dxa"/>
            <w:vMerge w:val="continue"/>
            <w:tcBorders>
              <w:right w:val="single" w:color="auto" w:sz="4" w:space="0"/>
            </w:tcBorders>
            <w:noWrap w:val="0"/>
            <w:vAlign w:val="center"/>
          </w:tcPr>
          <w:p>
            <w:pPr>
              <w:widowControl/>
              <w:spacing w:line="360" w:lineRule="exact"/>
              <w:jc w:val="center"/>
              <w:rPr>
                <w:rFonts w:hint="eastAsia" w:ascii="宋体" w:hAnsi="宋体" w:cs="宋体"/>
                <w:color w:val="auto"/>
                <w:szCs w:val="21"/>
              </w:rPr>
            </w:pPr>
          </w:p>
        </w:tc>
        <w:tc>
          <w:tcPr>
            <w:tcW w:w="1166" w:type="dxa"/>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Cs w:val="21"/>
              </w:rPr>
            </w:pPr>
            <w:r>
              <w:rPr>
                <w:rFonts w:hint="eastAsia" w:ascii="宋体" w:hAnsi="宋体" w:cs="宋体"/>
                <w:color w:val="auto"/>
                <w:szCs w:val="21"/>
              </w:rPr>
              <w:t>项目实施</w:t>
            </w:r>
          </w:p>
          <w:p>
            <w:pPr>
              <w:widowControl/>
              <w:spacing w:line="360" w:lineRule="auto"/>
              <w:jc w:val="center"/>
              <w:rPr>
                <w:rFonts w:hint="eastAsia" w:ascii="宋体" w:hAnsi="宋体" w:cs="宋体"/>
                <w:color w:val="auto"/>
                <w:szCs w:val="21"/>
              </w:rPr>
            </w:pPr>
            <w:r>
              <w:rPr>
                <w:rFonts w:hint="eastAsia" w:ascii="宋体" w:hAnsi="宋体" w:cs="宋体"/>
                <w:color w:val="auto"/>
                <w:szCs w:val="21"/>
              </w:rPr>
              <w:t>人员</w:t>
            </w:r>
          </w:p>
        </w:tc>
        <w:tc>
          <w:tcPr>
            <w:tcW w:w="6436" w:type="dxa"/>
            <w:tcBorders>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lang w:eastAsia="zh-CN"/>
              </w:rPr>
            </w:pPr>
            <w:r>
              <w:rPr>
                <w:rFonts w:hint="eastAsia" w:ascii="宋体" w:hAnsi="宋体" w:cs="宋体"/>
                <w:color w:val="auto"/>
                <w:szCs w:val="21"/>
              </w:rPr>
              <w:t>拟派项目实施人员专业素质、技术能力、经验等情况，数量是否充足，配置是否合理进行比较：专业素质高、技术能力强、有经验人员且人员充足的</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szCs w:val="21"/>
                <w:lang w:val="en-US" w:eastAsia="zh-CN"/>
              </w:rPr>
              <w:t>13</w:t>
            </w:r>
            <w:r>
              <w:rPr>
                <w:rFonts w:hint="eastAsia" w:ascii="宋体" w:hAnsi="宋体" w:cs="宋体"/>
                <w:color w:val="auto"/>
                <w:szCs w:val="21"/>
              </w:rPr>
              <w:t>分；专业素质、技术能力、经验人员一般且人员偏少的</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10（不含10）</w:t>
            </w:r>
            <w:r>
              <w:rPr>
                <w:rFonts w:hint="eastAsia" w:ascii="宋体" w:hAnsi="宋体" w:cs="宋体"/>
                <w:color w:val="auto"/>
                <w:szCs w:val="21"/>
              </w:rPr>
              <w:t>分；专业素质、技术能力一般，且人员配置不足的0-5</w:t>
            </w:r>
            <w:r>
              <w:rPr>
                <w:rFonts w:hint="eastAsia" w:ascii="宋体" w:hAnsi="宋体" w:cs="宋体"/>
                <w:color w:val="auto"/>
                <w:szCs w:val="21"/>
                <w:lang w:val="en-US" w:eastAsia="zh-CN"/>
              </w:rPr>
              <w:t>（不含5）</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0-13分</w:t>
            </w:r>
            <w:r>
              <w:rPr>
                <w:rFonts w:hint="eastAsia" w:ascii="宋体" w:hAnsi="宋体" w:cs="宋体"/>
                <w:color w:val="auto"/>
                <w:szCs w:val="21"/>
                <w:lang w:eastAsia="zh-CN"/>
              </w:rPr>
              <w:t>）</w:t>
            </w:r>
          </w:p>
        </w:tc>
        <w:tc>
          <w:tcPr>
            <w:tcW w:w="899" w:type="dxa"/>
            <w:tcBorders>
              <w:left w:val="single" w:color="auto" w:sz="4" w:space="0"/>
              <w:bottom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3</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69" w:type="dxa"/>
            <w:vMerge w:val="continue"/>
            <w:tcBorders>
              <w:right w:val="single" w:color="auto" w:sz="4" w:space="0"/>
            </w:tcBorders>
            <w:noWrap w:val="0"/>
            <w:vAlign w:val="center"/>
          </w:tcPr>
          <w:p>
            <w:pPr>
              <w:widowControl/>
              <w:spacing w:line="360" w:lineRule="exact"/>
              <w:jc w:val="center"/>
              <w:rPr>
                <w:rFonts w:hint="eastAsia" w:ascii="宋体" w:hAnsi="宋体" w:cs="宋体"/>
                <w:color w:val="auto"/>
                <w:szCs w:val="21"/>
              </w:rPr>
            </w:pPr>
          </w:p>
        </w:tc>
        <w:tc>
          <w:tcPr>
            <w:tcW w:w="1166" w:type="dxa"/>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投标</w:t>
            </w:r>
            <w:r>
              <w:rPr>
                <w:rFonts w:hint="eastAsia" w:ascii="宋体" w:hAnsi="宋体" w:cs="宋体"/>
                <w:color w:val="auto"/>
                <w:szCs w:val="21"/>
              </w:rPr>
              <w:t>文件制作</w:t>
            </w:r>
          </w:p>
        </w:tc>
        <w:tc>
          <w:tcPr>
            <w:tcW w:w="6436" w:type="dxa"/>
            <w:tcBorders>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是否满足</w:t>
            </w:r>
            <w:r>
              <w:rPr>
                <w:rFonts w:hint="eastAsia" w:ascii="宋体" w:hAnsi="宋体" w:cs="宋体"/>
                <w:color w:val="auto"/>
                <w:szCs w:val="21"/>
                <w:lang w:eastAsia="zh-CN"/>
              </w:rPr>
              <w:t>招标</w:t>
            </w:r>
            <w:r>
              <w:rPr>
                <w:rFonts w:hint="eastAsia" w:ascii="宋体" w:hAnsi="宋体" w:cs="宋体"/>
                <w:color w:val="auto"/>
                <w:szCs w:val="21"/>
              </w:rPr>
              <w:t>文件要求，</w:t>
            </w:r>
            <w:r>
              <w:rPr>
                <w:rFonts w:hint="eastAsia" w:ascii="宋体" w:hAnsi="宋体" w:cs="宋体"/>
                <w:color w:val="auto"/>
                <w:szCs w:val="21"/>
                <w:lang w:val="en-US" w:eastAsia="zh-CN"/>
              </w:rPr>
              <w:t>投标</w:t>
            </w:r>
            <w:r>
              <w:rPr>
                <w:rFonts w:hint="eastAsia" w:ascii="宋体" w:hAnsi="宋体" w:cs="宋体"/>
                <w:color w:val="auto"/>
                <w:szCs w:val="21"/>
              </w:rPr>
              <w:t>文件制作是否完整、格式规范、内容齐全、表述准确、条理清晰，内容无前后矛盾。</w:t>
            </w:r>
            <w:r>
              <w:rPr>
                <w:rFonts w:hint="eastAsia"/>
                <w:color w:val="auto"/>
                <w:kern w:val="2"/>
                <w:sz w:val="21"/>
                <w:szCs w:val="21"/>
                <w:lang w:val="en-US" w:eastAsia="zh-CN"/>
              </w:rPr>
              <w:t>（0-3分）</w:t>
            </w:r>
          </w:p>
        </w:tc>
        <w:tc>
          <w:tcPr>
            <w:tcW w:w="899" w:type="dxa"/>
            <w:tcBorders>
              <w:left w:val="single" w:color="auto" w:sz="4" w:space="0"/>
              <w:bottom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69" w:type="dxa"/>
            <w:vMerge w:val="continue"/>
            <w:tcBorders>
              <w:bottom w:val="single" w:color="000000" w:sz="4" w:space="0"/>
              <w:right w:val="single" w:color="auto" w:sz="4" w:space="0"/>
            </w:tcBorders>
            <w:noWrap w:val="0"/>
            <w:vAlign w:val="center"/>
          </w:tcPr>
          <w:p>
            <w:pPr>
              <w:widowControl/>
              <w:spacing w:line="360" w:lineRule="exact"/>
              <w:jc w:val="center"/>
              <w:rPr>
                <w:rFonts w:hint="eastAsia" w:ascii="宋体" w:hAnsi="宋体" w:cs="宋体"/>
                <w:color w:val="auto"/>
                <w:szCs w:val="21"/>
              </w:rPr>
            </w:pPr>
          </w:p>
        </w:tc>
        <w:tc>
          <w:tcPr>
            <w:tcW w:w="1166" w:type="dxa"/>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Cs w:val="21"/>
              </w:rPr>
            </w:pPr>
            <w:bookmarkStart w:id="10" w:name="_GoBack"/>
            <w:r>
              <w:rPr>
                <w:rFonts w:hint="eastAsia" w:ascii="宋体" w:hAnsi="宋体" w:cs="宋体"/>
                <w:color w:val="auto"/>
                <w:szCs w:val="21"/>
                <w:lang w:val="en-US" w:eastAsia="zh-CN"/>
              </w:rPr>
              <w:t>增值</w:t>
            </w:r>
            <w:r>
              <w:rPr>
                <w:rFonts w:hint="eastAsia" w:ascii="宋体" w:hAnsi="宋体" w:cs="宋体"/>
                <w:color w:val="auto"/>
                <w:szCs w:val="21"/>
              </w:rPr>
              <w:t>服务承诺</w:t>
            </w:r>
            <w:bookmarkEnd w:id="10"/>
          </w:p>
        </w:tc>
        <w:tc>
          <w:tcPr>
            <w:tcW w:w="6436" w:type="dxa"/>
            <w:tcBorders>
              <w:left w:val="single" w:color="auto" w:sz="4" w:space="0"/>
              <w:bottom w:val="single" w:color="auto" w:sz="4" w:space="0"/>
              <w:right w:val="single" w:color="auto" w:sz="4" w:space="0"/>
            </w:tcBorders>
            <w:noWrap w:val="0"/>
            <w:vAlign w:val="center"/>
          </w:tcPr>
          <w:p>
            <w:pPr>
              <w:pStyle w:val="26"/>
              <w:ind w:firstLine="0" w:firstLineChars="0"/>
              <w:rPr>
                <w:rFonts w:hint="default" w:eastAsia="宋体"/>
                <w:color w:val="auto"/>
                <w:szCs w:val="21"/>
                <w:lang w:val="en-US" w:eastAsia="zh-CN"/>
              </w:rPr>
            </w:pPr>
            <w:r>
              <w:rPr>
                <w:rFonts w:hint="eastAsia"/>
                <w:color w:val="auto"/>
                <w:kern w:val="2"/>
                <w:sz w:val="21"/>
                <w:szCs w:val="21"/>
                <w:lang w:val="en-US" w:eastAsia="zh-CN"/>
              </w:rPr>
              <w:t>根据投标</w:t>
            </w:r>
            <w:r>
              <w:rPr>
                <w:rFonts w:hint="eastAsia"/>
                <w:color w:val="auto"/>
                <w:kern w:val="2"/>
                <w:sz w:val="21"/>
                <w:szCs w:val="21"/>
              </w:rPr>
              <w:t>人</w:t>
            </w:r>
            <w:r>
              <w:rPr>
                <w:rFonts w:hint="eastAsia"/>
                <w:color w:val="auto"/>
                <w:kern w:val="2"/>
                <w:sz w:val="21"/>
                <w:szCs w:val="21"/>
                <w:lang w:val="en-US" w:eastAsia="zh-CN"/>
              </w:rPr>
              <w:t>提供的招标要求以外增值服务内容综合评分。（0-5分）</w:t>
            </w:r>
          </w:p>
        </w:tc>
        <w:tc>
          <w:tcPr>
            <w:tcW w:w="899" w:type="dxa"/>
            <w:tcBorders>
              <w:left w:val="single" w:color="auto" w:sz="4" w:space="0"/>
              <w:bottom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r>
    </w:tbl>
    <w:p>
      <w:pPr>
        <w:pStyle w:val="2"/>
        <w:widowControl w:val="0"/>
        <w:numPr>
          <w:ilvl w:val="0"/>
          <w:numId w:val="0"/>
        </w:numPr>
        <w:jc w:val="both"/>
      </w:pP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widowControl/>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w:t>
      </w:r>
      <w:r>
        <w:rPr>
          <w:rFonts w:hint="eastAsia"/>
          <w:b/>
          <w:color w:val="000000"/>
          <w:sz w:val="32"/>
          <w:szCs w:val="32"/>
          <w:lang w:val="en-US" w:eastAsia="zh-CN"/>
        </w:rPr>
        <w:t>2</w:t>
      </w:r>
      <w:r>
        <w:rPr>
          <w:rFonts w:hint="eastAsia"/>
          <w:b/>
          <w:color w:val="000000"/>
          <w:sz w:val="32"/>
          <w:szCs w:val="32"/>
        </w:rPr>
        <w:t>-</w:t>
      </w:r>
      <w:r>
        <w:rPr>
          <w:rFonts w:hint="eastAsia"/>
          <w:b/>
          <w:color w:val="000000"/>
          <w:sz w:val="32"/>
          <w:szCs w:val="32"/>
          <w:lang w:val="en-US" w:eastAsia="zh-CN"/>
        </w:rPr>
        <w:t>58</w:t>
      </w:r>
    </w:p>
    <w:p>
      <w:pPr>
        <w:snapToGrid w:val="0"/>
        <w:spacing w:line="360" w:lineRule="auto"/>
        <w:rPr>
          <w:color w:val="000000"/>
          <w:spacing w:val="20"/>
          <w:sz w:val="32"/>
          <w:szCs w:val="32"/>
        </w:rPr>
      </w:pPr>
    </w:p>
    <w:p>
      <w:pPr>
        <w:snapToGrid w:val="0"/>
        <w:spacing w:line="360" w:lineRule="auto"/>
        <w:rPr>
          <w:rFonts w:hint="default" w:eastAsia="宋体"/>
          <w:b/>
          <w:color w:val="000000"/>
          <w:sz w:val="32"/>
          <w:szCs w:val="32"/>
          <w:lang w:val="en-US" w:eastAsia="zh-CN"/>
        </w:rPr>
      </w:pPr>
      <w:r>
        <w:rPr>
          <w:color w:val="000000"/>
          <w:spacing w:val="20"/>
          <w:sz w:val="32"/>
          <w:szCs w:val="32"/>
        </w:rPr>
        <w:t>项目名称：</w:t>
      </w:r>
      <w:r>
        <w:rPr>
          <w:rFonts w:hint="eastAsia"/>
          <w:b/>
          <w:color w:val="000000"/>
          <w:sz w:val="32"/>
          <w:szCs w:val="32"/>
        </w:rPr>
        <w:t>衢州学院</w:t>
      </w:r>
      <w:r>
        <w:rPr>
          <w:rFonts w:hint="eastAsia"/>
          <w:b/>
          <w:color w:val="000000"/>
          <w:sz w:val="32"/>
          <w:szCs w:val="32"/>
          <w:lang w:val="en-US" w:eastAsia="zh-CN"/>
        </w:rPr>
        <w:t>图书馆过渡搬迁项目</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zh-CN"/>
        </w:rPr>
        <w:t>致：衢州学院</w:t>
      </w:r>
    </w:p>
    <w:p>
      <w:pPr>
        <w:autoSpaceDE w:val="0"/>
        <w:autoSpaceDN w:val="0"/>
        <w:adjustRightInd w:val="0"/>
        <w:spacing w:line="360" w:lineRule="auto"/>
        <w:ind w:left="280" w:hanging="281" w:hangingChars="100"/>
        <w:rPr>
          <w:rFonts w:hint="eastAsia" w:ascii="宋体" w:hAnsi="宋体" w:eastAsia="宋体" w:cs="宋体"/>
          <w:b w:val="0"/>
          <w:bCs w:val="0"/>
          <w:color w:val="000000"/>
          <w:sz w:val="28"/>
          <w:szCs w:val="28"/>
          <w:lang w:val="zh-CN"/>
        </w:rPr>
      </w:pPr>
      <w:r>
        <w:rPr>
          <w:rFonts w:hint="eastAsia" w:ascii="宋体" w:hAnsi="宋体" w:eastAsia="宋体" w:cs="宋体"/>
          <w:b/>
          <w:bCs/>
          <w:color w:val="000000"/>
          <w:sz w:val="28"/>
          <w:szCs w:val="28"/>
          <w:lang w:val="zh-CN"/>
        </w:rPr>
        <w:t xml:space="preserve">     </w:t>
      </w:r>
      <w:r>
        <w:rPr>
          <w:rFonts w:hint="eastAsia" w:ascii="宋体" w:hAnsi="宋体" w:eastAsia="宋体" w:cs="宋体"/>
          <w:b w:val="0"/>
          <w:bCs w:val="0"/>
          <w:color w:val="000000"/>
          <w:sz w:val="28"/>
          <w:szCs w:val="28"/>
          <w:lang w:val="zh-CN"/>
        </w:rPr>
        <w:t xml:space="preserve"> </w:t>
      </w:r>
      <w:r>
        <w:rPr>
          <w:rFonts w:hint="eastAsia" w:ascii="宋体" w:hAnsi="宋体" w:eastAsia="宋体" w:cs="宋体"/>
          <w:b w:val="0"/>
          <w:bCs w:val="0"/>
          <w:color w:val="000000"/>
          <w:sz w:val="28"/>
          <w:szCs w:val="28"/>
          <w:u w:val="single"/>
          <w:lang w:val="zh-CN"/>
        </w:rPr>
        <w:t xml:space="preserve">                  </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zh-CN"/>
        </w:rPr>
        <w:t xml:space="preserve">          </w:t>
      </w:r>
      <w:r>
        <w:rPr>
          <w:rFonts w:hint="eastAsia" w:ascii="宋体" w:hAnsi="宋体" w:eastAsia="宋体" w:cs="宋体"/>
          <w:b w:val="0"/>
          <w:bCs w:val="0"/>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eastAsia="宋体" w:cs="宋体"/>
          <w:b/>
          <w:bCs/>
          <w:color w:val="000000"/>
          <w:sz w:val="28"/>
          <w:szCs w:val="28"/>
          <w:u w:val="single"/>
          <w:lang w:val="en-US" w:eastAsia="zh-CN"/>
        </w:rPr>
      </w:pPr>
      <w:r>
        <w:rPr>
          <w:rFonts w:hint="eastAsia" w:ascii="宋体" w:hAnsi="宋体" w:eastAsia="宋体" w:cs="宋体"/>
          <w:b w:val="0"/>
          <w:bCs w:val="0"/>
          <w:color w:val="000000"/>
          <w:sz w:val="28"/>
          <w:szCs w:val="28"/>
          <w:u w:val="single"/>
          <w:lang w:val="zh-CN"/>
        </w:rPr>
        <w:t xml:space="preserve">         （全名、职务）</w:t>
      </w:r>
      <w:r>
        <w:rPr>
          <w:rFonts w:hint="eastAsia" w:ascii="宋体" w:hAnsi="宋体" w:eastAsia="宋体" w:cs="宋体"/>
          <w:b w:val="0"/>
          <w:bCs w:val="0"/>
          <w:color w:val="000000"/>
          <w:sz w:val="28"/>
          <w:szCs w:val="28"/>
          <w:lang w:val="zh-CN"/>
        </w:rPr>
        <w:t>为全权代表，参加贵方组织</w:t>
      </w:r>
      <w:r>
        <w:rPr>
          <w:rFonts w:hint="eastAsia" w:ascii="宋体" w:hAnsi="宋体" w:eastAsia="宋体" w:cs="宋体"/>
          <w:b/>
          <w:bCs/>
          <w:color w:val="000000"/>
          <w:sz w:val="28"/>
          <w:szCs w:val="28"/>
          <w:u w:val="single"/>
          <w:lang w:val="zh-CN"/>
        </w:rPr>
        <w:t>衢州学院</w:t>
      </w:r>
      <w:r>
        <w:rPr>
          <w:rFonts w:hint="eastAsia" w:ascii="宋体" w:hAnsi="宋体" w:eastAsia="宋体" w:cs="宋体"/>
          <w:b/>
          <w:bCs/>
          <w:color w:val="000000"/>
          <w:sz w:val="28"/>
          <w:szCs w:val="28"/>
          <w:u w:val="single"/>
          <w:lang w:val="en-US" w:eastAsia="zh-CN"/>
        </w:rPr>
        <w:t>图书</w:t>
      </w:r>
    </w:p>
    <w:p>
      <w:pPr>
        <w:autoSpaceDE w:val="0"/>
        <w:autoSpaceDN w:val="0"/>
        <w:adjustRightInd w:val="0"/>
        <w:spacing w:line="360" w:lineRule="auto"/>
        <w:ind w:left="280" w:hanging="281" w:hangingChars="100"/>
        <w:rPr>
          <w:rFonts w:hint="eastAsia" w:ascii="宋体" w:hAnsi="宋体" w:eastAsia="宋体" w:cs="宋体"/>
          <w:color w:val="000000"/>
          <w:sz w:val="28"/>
          <w:szCs w:val="28"/>
          <w:lang w:val="zh-CN"/>
        </w:rPr>
      </w:pPr>
      <w:r>
        <w:rPr>
          <w:rFonts w:hint="eastAsia" w:ascii="宋体" w:hAnsi="宋体" w:eastAsia="宋体" w:cs="宋体"/>
          <w:b/>
          <w:bCs/>
          <w:color w:val="000000"/>
          <w:sz w:val="28"/>
          <w:szCs w:val="28"/>
          <w:u w:val="single"/>
          <w:lang w:val="en-US" w:eastAsia="zh-CN"/>
        </w:rPr>
        <w:t>馆过渡搬迁项目</w:t>
      </w:r>
      <w:r>
        <w:rPr>
          <w:rFonts w:hint="eastAsia" w:ascii="宋体" w:hAnsi="宋体" w:eastAsia="宋体" w:cs="宋体"/>
          <w:b w:val="0"/>
          <w:bCs w:val="0"/>
          <w:color w:val="000000"/>
          <w:sz w:val="28"/>
          <w:szCs w:val="28"/>
          <w:lang w:val="zh-CN"/>
        </w:rPr>
        <w:t>（项目编号：衢院招202</w:t>
      </w:r>
      <w:r>
        <w:rPr>
          <w:rFonts w:hint="eastAsia" w:ascii="宋体" w:hAnsi="宋体" w:eastAsia="宋体" w:cs="宋体"/>
          <w:b w:val="0"/>
          <w:bCs w:val="0"/>
          <w:color w:val="000000"/>
          <w:sz w:val="28"/>
          <w:szCs w:val="28"/>
          <w:lang w:val="en-US" w:eastAsia="zh-CN"/>
        </w:rPr>
        <w:t>2</w:t>
      </w:r>
      <w:r>
        <w:rPr>
          <w:rFonts w:hint="eastAsia" w:ascii="宋体" w:hAnsi="宋体" w:eastAsia="宋体" w:cs="宋体"/>
          <w:b w:val="0"/>
          <w:bCs w:val="0"/>
          <w:color w:val="000000"/>
          <w:sz w:val="28"/>
          <w:szCs w:val="28"/>
          <w:lang w:val="zh-CN"/>
        </w:rPr>
        <w:t>-</w:t>
      </w:r>
      <w:r>
        <w:rPr>
          <w:rFonts w:hint="eastAsia" w:ascii="宋体" w:hAnsi="宋体" w:eastAsia="宋体" w:cs="宋体"/>
          <w:b w:val="0"/>
          <w:bCs w:val="0"/>
          <w:color w:val="000000"/>
          <w:sz w:val="28"/>
          <w:szCs w:val="28"/>
          <w:lang w:val="en-US" w:eastAsia="zh-CN"/>
        </w:rPr>
        <w:t>58</w:t>
      </w:r>
      <w:r>
        <w:rPr>
          <w:rFonts w:hint="eastAsia" w:ascii="宋体" w:hAnsi="宋体" w:eastAsia="宋体" w:cs="宋体"/>
          <w:b w:val="0"/>
          <w:bCs w:val="0"/>
          <w:color w:val="000000"/>
          <w:sz w:val="28"/>
          <w:szCs w:val="28"/>
          <w:lang w:val="zh-CN"/>
        </w:rPr>
        <w:t>）</w:t>
      </w:r>
      <w:r>
        <w:rPr>
          <w:rFonts w:hint="eastAsia" w:ascii="宋体" w:hAnsi="宋体" w:eastAsia="宋体" w:cs="宋体"/>
          <w:color w:val="000000"/>
          <w:sz w:val="28"/>
          <w:szCs w:val="28"/>
          <w:lang w:val="zh-CN"/>
        </w:rPr>
        <w:t>招标有关活动，并进</w:t>
      </w:r>
    </w:p>
    <w:p>
      <w:pPr>
        <w:autoSpaceDE w:val="0"/>
        <w:autoSpaceDN w:val="0"/>
        <w:adjustRightInd w:val="0"/>
        <w:spacing w:line="360" w:lineRule="auto"/>
        <w:ind w:left="280" w:hanging="280" w:hangingChars="100"/>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行投标。为此：</w:t>
      </w:r>
    </w:p>
    <w:p>
      <w:pPr>
        <w:autoSpaceDE w:val="0"/>
        <w:autoSpaceDN w:val="0"/>
        <w:adjustRightInd w:val="0"/>
        <w:spacing w:line="360" w:lineRule="auto"/>
        <w:ind w:firstLine="560"/>
        <w:jc w:val="left"/>
        <w:rPr>
          <w:rFonts w:hint="eastAsia" w:ascii="宋体" w:hAnsi="宋体" w:eastAsia="宋体" w:cs="宋体"/>
          <w:color w:val="000000"/>
          <w:sz w:val="28"/>
          <w:szCs w:val="28"/>
        </w:rPr>
      </w:pPr>
      <w:r>
        <w:rPr>
          <w:rFonts w:hint="eastAsia" w:ascii="宋体" w:hAnsi="宋体" w:eastAsia="宋体" w:cs="宋体"/>
          <w:color w:val="000000"/>
          <w:sz w:val="28"/>
          <w:szCs w:val="28"/>
          <w:lang w:val="zh-CN"/>
        </w:rPr>
        <w:t>1．提供投标须知规定的全部投标文件。</w:t>
      </w:r>
    </w:p>
    <w:p>
      <w:pPr>
        <w:autoSpaceDE w:val="0"/>
        <w:autoSpaceDN w:val="0"/>
        <w:adjustRightInd w:val="0"/>
        <w:spacing w:line="360" w:lineRule="auto"/>
        <w:ind w:firstLine="560"/>
        <w:jc w:val="left"/>
        <w:rPr>
          <w:rFonts w:hint="eastAsia" w:ascii="宋体" w:hAnsi="宋体" w:eastAsia="宋体" w:cs="宋体"/>
          <w:color w:val="000000"/>
          <w:sz w:val="28"/>
          <w:szCs w:val="28"/>
        </w:rPr>
      </w:pPr>
      <w:r>
        <w:rPr>
          <w:rFonts w:hint="eastAsia" w:ascii="宋体" w:hAnsi="宋体" w:eastAsia="宋体" w:cs="宋体"/>
          <w:color w:val="000000"/>
          <w:sz w:val="28"/>
          <w:szCs w:val="28"/>
          <w:lang w:val="zh-CN"/>
        </w:rPr>
        <w:t>2．投标文件有效期为</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天。</w:t>
      </w:r>
    </w:p>
    <w:p>
      <w:pPr>
        <w:autoSpaceDE w:val="0"/>
        <w:autoSpaceDN w:val="0"/>
        <w:adjustRightInd w:val="0"/>
        <w:spacing w:line="360" w:lineRule="auto"/>
        <w:ind w:left="540" w:firstLine="30"/>
        <w:jc w:val="left"/>
        <w:rPr>
          <w:rFonts w:hint="eastAsia" w:ascii="宋体" w:hAnsi="宋体" w:eastAsia="宋体" w:cs="宋体"/>
          <w:color w:val="000000"/>
          <w:sz w:val="28"/>
          <w:szCs w:val="28"/>
        </w:rPr>
      </w:pPr>
      <w:r>
        <w:rPr>
          <w:rFonts w:hint="eastAsia" w:ascii="宋体" w:hAnsi="宋体" w:eastAsia="宋体" w:cs="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hint="eastAsia" w:ascii="宋体" w:hAnsi="宋体" w:eastAsia="宋体" w:cs="宋体"/>
          <w:color w:val="000000"/>
          <w:sz w:val="28"/>
          <w:szCs w:val="28"/>
        </w:rPr>
      </w:pPr>
      <w:r>
        <w:rPr>
          <w:rFonts w:hint="eastAsia" w:ascii="宋体" w:hAnsi="宋体" w:eastAsia="宋体" w:cs="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lang w:val="zh-CN"/>
        </w:rPr>
        <w:t>资料，并保证其真实性、合法性。</w:t>
      </w:r>
    </w:p>
    <w:p>
      <w:pPr>
        <w:autoSpaceDE w:val="0"/>
        <w:autoSpaceDN w:val="0"/>
        <w:adjustRightInd w:val="0"/>
        <w:spacing w:line="360" w:lineRule="auto"/>
        <w:ind w:left="540" w:firstLine="30"/>
        <w:jc w:val="left"/>
        <w:rPr>
          <w:rFonts w:hint="eastAsia" w:ascii="宋体" w:hAnsi="宋体" w:eastAsia="宋体" w:cs="宋体"/>
          <w:color w:val="000000"/>
          <w:sz w:val="28"/>
          <w:szCs w:val="28"/>
        </w:rPr>
      </w:pPr>
      <w:r>
        <w:rPr>
          <w:rFonts w:hint="eastAsia" w:ascii="宋体" w:hAnsi="宋体" w:eastAsia="宋体" w:cs="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hint="eastAsia" w:ascii="宋体" w:hAnsi="宋体" w:eastAsia="宋体" w:cs="宋体"/>
          <w:color w:val="000000"/>
          <w:sz w:val="28"/>
          <w:szCs w:val="28"/>
        </w:rPr>
      </w:pPr>
      <w:r>
        <w:rPr>
          <w:rFonts w:hint="eastAsia" w:ascii="宋体" w:hAnsi="宋体" w:eastAsia="宋体" w:cs="宋体"/>
          <w:color w:val="000000"/>
          <w:sz w:val="28"/>
          <w:szCs w:val="28"/>
          <w:lang w:val="zh-CN"/>
        </w:rPr>
        <w:t>地址：</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邮编：</w:t>
      </w:r>
      <w:r>
        <w:rPr>
          <w:rFonts w:hint="eastAsia" w:ascii="宋体" w:hAnsi="宋体" w:eastAsia="宋体" w:cs="宋体"/>
          <w:color w:val="000000"/>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电话：</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传真：</w:t>
      </w:r>
      <w:r>
        <w:rPr>
          <w:rFonts w:hint="eastAsia" w:ascii="宋体" w:hAnsi="宋体" w:eastAsia="宋体" w:cs="宋体"/>
          <w:color w:val="000000"/>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color w:val="000000"/>
          <w:sz w:val="28"/>
          <w:szCs w:val="28"/>
        </w:rPr>
      </w:pPr>
      <w:r>
        <w:rPr>
          <w:rFonts w:hint="eastAsia" w:ascii="宋体" w:hAnsi="宋体" w:eastAsia="宋体" w:cs="宋体"/>
          <w:color w:val="000000"/>
          <w:sz w:val="28"/>
          <w:szCs w:val="28"/>
          <w:lang w:val="zh-CN"/>
        </w:rPr>
        <w:t>投标人名称：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（公章）</w:t>
      </w:r>
    </w:p>
    <w:p>
      <w:pPr>
        <w:autoSpaceDE w:val="0"/>
        <w:autoSpaceDN w:val="0"/>
        <w:adjustRightInd w:val="0"/>
        <w:spacing w:line="360" w:lineRule="auto"/>
        <w:ind w:firstLine="560" w:firstLineChars="200"/>
        <w:jc w:val="lef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全权代表</w:t>
      </w:r>
      <w:r>
        <w:rPr>
          <w:rFonts w:hint="eastAsia" w:ascii="宋体" w:hAnsi="宋体" w:cs="宋体"/>
          <w:color w:val="000000"/>
          <w:sz w:val="28"/>
          <w:szCs w:val="28"/>
          <w:lang w:val="en-US" w:eastAsia="zh-CN"/>
        </w:rPr>
        <w:t>姓名</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投标日期：</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p>
    <w:p>
      <w:pPr>
        <w:spacing w:line="360" w:lineRule="auto"/>
        <w:outlineLvl w:val="1"/>
        <w:rPr>
          <w:b/>
          <w:color w:val="000000"/>
          <w:sz w:val="28"/>
          <w:szCs w:val="28"/>
        </w:rPr>
      </w:pPr>
      <w:r>
        <w:rPr>
          <w:rFonts w:hint="eastAsia" w:ascii="宋体" w:hAnsi="宋体" w:eastAsia="宋体" w:cs="宋体"/>
          <w:color w:val="000000"/>
          <w:sz w:val="28"/>
          <w:szCs w:val="28"/>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lang w:val="zh-CN"/>
        </w:rPr>
        <w:t>衢州学院</w:t>
      </w:r>
      <w:r>
        <w:rPr>
          <w:rFonts w:hint="eastAsia"/>
          <w:b/>
          <w:bCs/>
          <w:color w:val="000000"/>
          <w:sz w:val="28"/>
          <w:szCs w:val="28"/>
          <w:u w:val="single"/>
          <w:lang w:val="en-US" w:eastAsia="zh-CN"/>
        </w:rPr>
        <w:t>图书馆过渡搬迁项目</w:t>
      </w:r>
      <w:r>
        <w:rPr>
          <w:color w:val="000000"/>
          <w:sz w:val="28"/>
          <w:szCs w:val="28"/>
          <w:lang w:val="zh-CN"/>
        </w:rPr>
        <w:t>（项目编号：衢院招</w:t>
      </w:r>
      <w:r>
        <w:rPr>
          <w:rFonts w:hint="eastAsia"/>
          <w:color w:val="000000"/>
          <w:sz w:val="28"/>
          <w:szCs w:val="28"/>
          <w:lang w:val="zh-CN"/>
        </w:rPr>
        <w:t>202</w:t>
      </w:r>
      <w:r>
        <w:rPr>
          <w:rFonts w:hint="eastAsia"/>
          <w:color w:val="000000"/>
          <w:sz w:val="28"/>
          <w:szCs w:val="28"/>
          <w:lang w:val="en-US" w:eastAsia="zh-CN"/>
        </w:rPr>
        <w:t>2-58</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58</w:t>
      </w:r>
    </w:p>
    <w:p>
      <w:pPr>
        <w:snapToGrid w:val="0"/>
        <w:spacing w:line="360" w:lineRule="auto"/>
        <w:rPr>
          <w:rFonts w:hint="default" w:ascii="宋体" w:hAnsi="宋体" w:cs="宋体"/>
          <w:b/>
          <w:color w:val="000000"/>
          <w:sz w:val="32"/>
          <w:szCs w:val="32"/>
          <w:lang w:val="en-US" w:eastAsia="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衢州学院</w:t>
      </w:r>
      <w:r>
        <w:rPr>
          <w:rFonts w:hint="eastAsia" w:ascii="宋体" w:hAnsi="宋体" w:cs="宋体"/>
          <w:b/>
          <w:color w:val="000000"/>
          <w:sz w:val="32"/>
          <w:szCs w:val="32"/>
          <w:lang w:val="en-US" w:eastAsia="zh-CN"/>
        </w:rPr>
        <w:t>图书馆过渡搬迁项目</w:t>
      </w:r>
    </w:p>
    <w:tbl>
      <w:tblPr>
        <w:tblStyle w:val="17"/>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bl>
    <w:p>
      <w:pPr>
        <w:pStyle w:val="10"/>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0"/>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w:t>
      </w:r>
      <w:r>
        <w:rPr>
          <w:rFonts w:hint="eastAsia" w:ascii="宋体" w:hAnsi="宋体" w:eastAsia="宋体" w:cs="宋体"/>
          <w:color w:val="000000" w:themeColor="text1"/>
          <w:kern w:val="2"/>
          <w:sz w:val="24"/>
          <w:szCs w:val="24"/>
          <w:lang w:val="en-US" w:eastAsia="zh-CN" w:bidi="ar-SA"/>
          <w14:textFill>
            <w14:solidFill>
              <w14:schemeClr w14:val="tx1"/>
            </w14:solidFill>
          </w14:textFill>
        </w:rPr>
        <w:t>包括服务费、人工费、保险费、车费及提供服务所需的培训相关费用及各种应纳的税费，</w:t>
      </w:r>
      <w:r>
        <w:rPr>
          <w:color w:val="000000"/>
          <w:sz w:val="24"/>
        </w:rPr>
        <w:t>即按招标人要求完成项目的完工价格，并由中标单位开具正式发票。</w:t>
      </w:r>
    </w:p>
    <w:p>
      <w:pPr>
        <w:pStyle w:val="10"/>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0"/>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w:t>
      </w:r>
      <w:r>
        <w:rPr>
          <w:rFonts w:hint="eastAsia"/>
          <w:color w:val="000000"/>
          <w:sz w:val="28"/>
          <w:szCs w:val="28"/>
          <w:lang w:val="en-US" w:eastAsia="zh-CN"/>
        </w:rPr>
        <w:t>姓名</w:t>
      </w:r>
      <w:r>
        <w:rPr>
          <w:color w:val="000000"/>
          <w:sz w:val="28"/>
          <w:szCs w:val="28"/>
          <w:lang w:val="zh-CN"/>
        </w:rPr>
        <w:t>：             职务：         日期：</w:t>
      </w:r>
      <w:r>
        <w:rPr>
          <w:b/>
          <w:color w:val="000000"/>
          <w:szCs w:val="32"/>
        </w:rPr>
        <w:br w:type="page"/>
      </w:r>
      <w:r>
        <w:rPr>
          <w:b/>
          <w:color w:val="000000"/>
          <w:sz w:val="28"/>
          <w:szCs w:val="28"/>
          <w:lang w:val="zh-CN"/>
        </w:rPr>
        <w:t>格式五：</w:t>
      </w:r>
    </w:p>
    <w:p>
      <w:pPr>
        <w:spacing w:line="480" w:lineRule="exact"/>
        <w:ind w:left="480"/>
        <w:jc w:val="center"/>
        <w:rPr>
          <w:rFonts w:hint="eastAsia" w:ascii="宋体" w:hAnsi="宋体" w:cs="宋体"/>
          <w:b/>
          <w:color w:val="000000"/>
          <w:sz w:val="36"/>
          <w:szCs w:val="36"/>
        </w:rPr>
      </w:pPr>
      <w:r>
        <w:rPr>
          <w:rFonts w:hint="eastAsia" w:ascii="宋体" w:hAnsi="宋体" w:cs="宋体"/>
          <w:b/>
          <w:color w:val="000000"/>
          <w:sz w:val="36"/>
          <w:szCs w:val="36"/>
        </w:rPr>
        <w:t>项目清单及报价明细表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58</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衢州学院</w:t>
      </w:r>
      <w:r>
        <w:rPr>
          <w:rFonts w:hint="eastAsia" w:ascii="宋体" w:hAnsi="宋体" w:cs="宋体"/>
          <w:b/>
          <w:color w:val="000000"/>
          <w:sz w:val="32"/>
          <w:szCs w:val="32"/>
          <w:lang w:val="en-US" w:eastAsia="zh-CN"/>
        </w:rPr>
        <w:t>图书馆过渡搬迁项目</w:t>
      </w:r>
    </w:p>
    <w:tbl>
      <w:tblPr>
        <w:tblStyle w:val="17"/>
        <w:tblpPr w:leftFromText="180" w:rightFromText="180" w:vertAnchor="text" w:horzAnchor="page" w:tblpX="1470" w:tblpY="321"/>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18"/>
        <w:gridCol w:w="992"/>
        <w:gridCol w:w="992"/>
        <w:gridCol w:w="3495"/>
        <w:gridCol w:w="881"/>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6" w:type="dxa"/>
            <w:noWrap w:val="0"/>
            <w:vAlign w:val="center"/>
          </w:tcPr>
          <w:p>
            <w:pPr>
              <w:pStyle w:val="35"/>
              <w:spacing w:line="400" w:lineRule="exact"/>
              <w:ind w:firstLine="0"/>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序号</w:t>
            </w:r>
          </w:p>
        </w:tc>
        <w:tc>
          <w:tcPr>
            <w:tcW w:w="1418" w:type="dxa"/>
            <w:noWrap w:val="0"/>
            <w:vAlign w:val="center"/>
          </w:tcPr>
          <w:p>
            <w:pPr>
              <w:pStyle w:val="35"/>
              <w:spacing w:line="400" w:lineRule="exact"/>
              <w:ind w:firstLine="0"/>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项目名称</w:t>
            </w:r>
          </w:p>
        </w:tc>
        <w:tc>
          <w:tcPr>
            <w:tcW w:w="992" w:type="dxa"/>
            <w:noWrap w:val="0"/>
            <w:vAlign w:val="center"/>
          </w:tcPr>
          <w:p>
            <w:pPr>
              <w:pStyle w:val="35"/>
              <w:spacing w:line="400" w:lineRule="exact"/>
              <w:ind w:firstLine="0"/>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单位</w:t>
            </w:r>
          </w:p>
        </w:tc>
        <w:tc>
          <w:tcPr>
            <w:tcW w:w="992" w:type="dxa"/>
            <w:noWrap w:val="0"/>
            <w:vAlign w:val="center"/>
          </w:tcPr>
          <w:p>
            <w:pPr>
              <w:pStyle w:val="35"/>
              <w:spacing w:line="400" w:lineRule="exact"/>
              <w:ind w:firstLine="0"/>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数量</w:t>
            </w:r>
          </w:p>
        </w:tc>
        <w:tc>
          <w:tcPr>
            <w:tcW w:w="3495" w:type="dxa"/>
            <w:noWrap w:val="0"/>
            <w:vAlign w:val="center"/>
          </w:tcPr>
          <w:p>
            <w:pPr>
              <w:pStyle w:val="35"/>
              <w:spacing w:line="400" w:lineRule="exact"/>
              <w:ind w:firstLine="0"/>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项目内容</w:t>
            </w:r>
          </w:p>
        </w:tc>
        <w:tc>
          <w:tcPr>
            <w:tcW w:w="881" w:type="dxa"/>
            <w:noWrap w:val="0"/>
            <w:vAlign w:val="center"/>
          </w:tcPr>
          <w:p>
            <w:pPr>
              <w:pStyle w:val="35"/>
              <w:spacing w:line="400" w:lineRule="exact"/>
              <w:ind w:firstLine="0"/>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单价</w:t>
            </w:r>
          </w:p>
        </w:tc>
        <w:tc>
          <w:tcPr>
            <w:tcW w:w="883" w:type="dxa"/>
            <w:noWrap w:val="0"/>
            <w:vAlign w:val="center"/>
          </w:tcPr>
          <w:p>
            <w:pPr>
              <w:pStyle w:val="35"/>
              <w:spacing w:line="400" w:lineRule="exact"/>
              <w:ind w:firstLine="0"/>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96" w:type="dxa"/>
            <w:noWrap w:val="0"/>
            <w:vAlign w:val="center"/>
          </w:tcPr>
          <w:p>
            <w:pPr>
              <w:pStyle w:val="35"/>
              <w:spacing w:line="400" w:lineRule="exact"/>
              <w:jc w:val="center"/>
              <w:rPr>
                <w:rFonts w:ascii="仿宋_GB2312" w:hAnsi="宋体" w:eastAsia="仿宋_GB2312"/>
                <w:b/>
                <w:bCs/>
                <w:color w:val="000000"/>
                <w:sz w:val="28"/>
                <w:szCs w:val="28"/>
              </w:rPr>
            </w:pPr>
          </w:p>
        </w:tc>
        <w:tc>
          <w:tcPr>
            <w:tcW w:w="1418"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3495" w:type="dxa"/>
            <w:noWrap w:val="0"/>
            <w:vAlign w:val="center"/>
          </w:tcPr>
          <w:p>
            <w:pPr>
              <w:pStyle w:val="35"/>
              <w:spacing w:line="400" w:lineRule="exact"/>
              <w:jc w:val="center"/>
              <w:rPr>
                <w:rFonts w:ascii="仿宋_GB2312" w:hAnsi="宋体" w:eastAsia="仿宋_GB2312"/>
                <w:b/>
                <w:bCs/>
                <w:color w:val="000000"/>
                <w:sz w:val="28"/>
                <w:szCs w:val="28"/>
              </w:rPr>
            </w:pPr>
          </w:p>
        </w:tc>
        <w:tc>
          <w:tcPr>
            <w:tcW w:w="881" w:type="dxa"/>
            <w:noWrap w:val="0"/>
            <w:vAlign w:val="center"/>
          </w:tcPr>
          <w:p>
            <w:pPr>
              <w:pStyle w:val="35"/>
              <w:spacing w:line="400" w:lineRule="exact"/>
              <w:jc w:val="center"/>
              <w:rPr>
                <w:rFonts w:ascii="仿宋_GB2312" w:hAnsi="宋体" w:eastAsia="仿宋_GB2312"/>
                <w:b/>
                <w:bCs/>
                <w:color w:val="000000"/>
                <w:sz w:val="28"/>
                <w:szCs w:val="28"/>
              </w:rPr>
            </w:pPr>
          </w:p>
        </w:tc>
        <w:tc>
          <w:tcPr>
            <w:tcW w:w="883" w:type="dxa"/>
            <w:noWrap w:val="0"/>
            <w:vAlign w:val="center"/>
          </w:tcPr>
          <w:p>
            <w:pPr>
              <w:pStyle w:val="35"/>
              <w:spacing w:line="400" w:lineRule="exact"/>
              <w:jc w:val="center"/>
              <w:rPr>
                <w:rFonts w:ascii="仿宋_GB2312" w:hAnsi="宋体"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96" w:type="dxa"/>
            <w:noWrap w:val="0"/>
            <w:vAlign w:val="center"/>
          </w:tcPr>
          <w:p>
            <w:pPr>
              <w:pStyle w:val="35"/>
              <w:spacing w:line="400" w:lineRule="exact"/>
              <w:jc w:val="center"/>
              <w:rPr>
                <w:rFonts w:ascii="仿宋_GB2312" w:hAnsi="宋体" w:eastAsia="仿宋_GB2312"/>
                <w:b/>
                <w:bCs/>
                <w:color w:val="000000"/>
                <w:sz w:val="28"/>
                <w:szCs w:val="28"/>
              </w:rPr>
            </w:pPr>
          </w:p>
        </w:tc>
        <w:tc>
          <w:tcPr>
            <w:tcW w:w="1418"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3495" w:type="dxa"/>
            <w:noWrap w:val="0"/>
            <w:vAlign w:val="center"/>
          </w:tcPr>
          <w:p>
            <w:pPr>
              <w:pStyle w:val="35"/>
              <w:spacing w:line="400" w:lineRule="exact"/>
              <w:jc w:val="center"/>
              <w:rPr>
                <w:rFonts w:ascii="仿宋_GB2312" w:hAnsi="宋体" w:eastAsia="仿宋_GB2312"/>
                <w:b/>
                <w:bCs/>
                <w:color w:val="000000"/>
                <w:sz w:val="28"/>
                <w:szCs w:val="28"/>
              </w:rPr>
            </w:pPr>
          </w:p>
        </w:tc>
        <w:tc>
          <w:tcPr>
            <w:tcW w:w="881" w:type="dxa"/>
            <w:noWrap w:val="0"/>
            <w:vAlign w:val="center"/>
          </w:tcPr>
          <w:p>
            <w:pPr>
              <w:pStyle w:val="35"/>
              <w:spacing w:line="400" w:lineRule="exact"/>
              <w:jc w:val="center"/>
              <w:rPr>
                <w:rFonts w:ascii="仿宋_GB2312" w:hAnsi="宋体" w:eastAsia="仿宋_GB2312"/>
                <w:b/>
                <w:bCs/>
                <w:color w:val="000000"/>
                <w:sz w:val="28"/>
                <w:szCs w:val="28"/>
              </w:rPr>
            </w:pPr>
          </w:p>
        </w:tc>
        <w:tc>
          <w:tcPr>
            <w:tcW w:w="883" w:type="dxa"/>
            <w:noWrap w:val="0"/>
            <w:vAlign w:val="center"/>
          </w:tcPr>
          <w:p>
            <w:pPr>
              <w:pStyle w:val="35"/>
              <w:spacing w:line="400" w:lineRule="exact"/>
              <w:jc w:val="center"/>
              <w:rPr>
                <w:rFonts w:ascii="仿宋_GB2312" w:hAnsi="宋体"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96" w:type="dxa"/>
            <w:noWrap w:val="0"/>
            <w:vAlign w:val="center"/>
          </w:tcPr>
          <w:p>
            <w:pPr>
              <w:pStyle w:val="35"/>
              <w:spacing w:line="400" w:lineRule="exact"/>
              <w:jc w:val="center"/>
              <w:rPr>
                <w:rFonts w:ascii="仿宋_GB2312" w:hAnsi="宋体" w:eastAsia="仿宋_GB2312"/>
                <w:b/>
                <w:bCs/>
                <w:color w:val="000000"/>
                <w:sz w:val="28"/>
                <w:szCs w:val="28"/>
              </w:rPr>
            </w:pPr>
          </w:p>
        </w:tc>
        <w:tc>
          <w:tcPr>
            <w:tcW w:w="1418"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3495" w:type="dxa"/>
            <w:noWrap w:val="0"/>
            <w:vAlign w:val="center"/>
          </w:tcPr>
          <w:p>
            <w:pPr>
              <w:pStyle w:val="35"/>
              <w:spacing w:line="400" w:lineRule="exact"/>
              <w:jc w:val="center"/>
              <w:rPr>
                <w:rFonts w:ascii="仿宋_GB2312" w:hAnsi="宋体" w:eastAsia="仿宋_GB2312"/>
                <w:b/>
                <w:bCs/>
                <w:color w:val="000000"/>
                <w:sz w:val="28"/>
                <w:szCs w:val="28"/>
              </w:rPr>
            </w:pPr>
          </w:p>
        </w:tc>
        <w:tc>
          <w:tcPr>
            <w:tcW w:w="881" w:type="dxa"/>
            <w:noWrap w:val="0"/>
            <w:vAlign w:val="center"/>
          </w:tcPr>
          <w:p>
            <w:pPr>
              <w:pStyle w:val="35"/>
              <w:spacing w:line="400" w:lineRule="exact"/>
              <w:jc w:val="center"/>
              <w:rPr>
                <w:rFonts w:ascii="仿宋_GB2312" w:hAnsi="宋体" w:eastAsia="仿宋_GB2312"/>
                <w:b/>
                <w:bCs/>
                <w:color w:val="000000"/>
                <w:sz w:val="28"/>
                <w:szCs w:val="28"/>
              </w:rPr>
            </w:pPr>
          </w:p>
        </w:tc>
        <w:tc>
          <w:tcPr>
            <w:tcW w:w="883" w:type="dxa"/>
            <w:noWrap w:val="0"/>
            <w:vAlign w:val="center"/>
          </w:tcPr>
          <w:p>
            <w:pPr>
              <w:pStyle w:val="35"/>
              <w:spacing w:line="400" w:lineRule="exact"/>
              <w:jc w:val="center"/>
              <w:rPr>
                <w:rFonts w:ascii="仿宋_GB2312" w:hAnsi="宋体"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96" w:type="dxa"/>
            <w:noWrap w:val="0"/>
            <w:vAlign w:val="center"/>
          </w:tcPr>
          <w:p>
            <w:pPr>
              <w:pStyle w:val="35"/>
              <w:spacing w:line="400" w:lineRule="exact"/>
              <w:jc w:val="center"/>
              <w:rPr>
                <w:rFonts w:ascii="仿宋_GB2312" w:hAnsi="宋体" w:eastAsia="仿宋_GB2312"/>
                <w:b/>
                <w:bCs/>
                <w:color w:val="000000"/>
                <w:sz w:val="28"/>
                <w:szCs w:val="28"/>
              </w:rPr>
            </w:pPr>
          </w:p>
        </w:tc>
        <w:tc>
          <w:tcPr>
            <w:tcW w:w="1418"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3495" w:type="dxa"/>
            <w:noWrap w:val="0"/>
            <w:vAlign w:val="center"/>
          </w:tcPr>
          <w:p>
            <w:pPr>
              <w:pStyle w:val="35"/>
              <w:spacing w:line="400" w:lineRule="exact"/>
              <w:jc w:val="center"/>
              <w:rPr>
                <w:rFonts w:ascii="仿宋_GB2312" w:hAnsi="宋体" w:eastAsia="仿宋_GB2312"/>
                <w:b/>
                <w:bCs/>
                <w:color w:val="000000"/>
                <w:sz w:val="28"/>
                <w:szCs w:val="28"/>
              </w:rPr>
            </w:pPr>
          </w:p>
        </w:tc>
        <w:tc>
          <w:tcPr>
            <w:tcW w:w="881" w:type="dxa"/>
            <w:noWrap w:val="0"/>
            <w:vAlign w:val="center"/>
          </w:tcPr>
          <w:p>
            <w:pPr>
              <w:pStyle w:val="35"/>
              <w:spacing w:line="400" w:lineRule="exact"/>
              <w:jc w:val="center"/>
              <w:rPr>
                <w:rFonts w:ascii="仿宋_GB2312" w:hAnsi="宋体" w:eastAsia="仿宋_GB2312"/>
                <w:b/>
                <w:bCs/>
                <w:color w:val="000000"/>
                <w:sz w:val="28"/>
                <w:szCs w:val="28"/>
              </w:rPr>
            </w:pPr>
          </w:p>
        </w:tc>
        <w:tc>
          <w:tcPr>
            <w:tcW w:w="883" w:type="dxa"/>
            <w:noWrap w:val="0"/>
            <w:vAlign w:val="center"/>
          </w:tcPr>
          <w:p>
            <w:pPr>
              <w:pStyle w:val="35"/>
              <w:spacing w:line="400" w:lineRule="exact"/>
              <w:jc w:val="center"/>
              <w:rPr>
                <w:rFonts w:ascii="仿宋_GB2312" w:hAnsi="宋体"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96" w:type="dxa"/>
            <w:noWrap w:val="0"/>
            <w:vAlign w:val="center"/>
          </w:tcPr>
          <w:p>
            <w:pPr>
              <w:pStyle w:val="35"/>
              <w:spacing w:line="400" w:lineRule="exact"/>
              <w:jc w:val="center"/>
              <w:rPr>
                <w:rFonts w:ascii="仿宋_GB2312" w:hAnsi="宋体" w:eastAsia="仿宋_GB2312"/>
                <w:b/>
                <w:bCs/>
                <w:color w:val="000000"/>
                <w:sz w:val="28"/>
                <w:szCs w:val="28"/>
              </w:rPr>
            </w:pPr>
          </w:p>
        </w:tc>
        <w:tc>
          <w:tcPr>
            <w:tcW w:w="1418"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3495" w:type="dxa"/>
            <w:noWrap w:val="0"/>
            <w:vAlign w:val="center"/>
          </w:tcPr>
          <w:p>
            <w:pPr>
              <w:pStyle w:val="35"/>
              <w:spacing w:line="400" w:lineRule="exact"/>
              <w:jc w:val="center"/>
              <w:rPr>
                <w:rFonts w:ascii="仿宋_GB2312" w:hAnsi="宋体" w:eastAsia="仿宋_GB2312"/>
                <w:b/>
                <w:bCs/>
                <w:color w:val="000000"/>
                <w:sz w:val="28"/>
                <w:szCs w:val="28"/>
              </w:rPr>
            </w:pPr>
          </w:p>
        </w:tc>
        <w:tc>
          <w:tcPr>
            <w:tcW w:w="881" w:type="dxa"/>
            <w:noWrap w:val="0"/>
            <w:vAlign w:val="center"/>
          </w:tcPr>
          <w:p>
            <w:pPr>
              <w:pStyle w:val="35"/>
              <w:spacing w:line="400" w:lineRule="exact"/>
              <w:jc w:val="center"/>
              <w:rPr>
                <w:rFonts w:ascii="仿宋_GB2312" w:hAnsi="宋体" w:eastAsia="仿宋_GB2312"/>
                <w:b/>
                <w:bCs/>
                <w:color w:val="000000"/>
                <w:sz w:val="28"/>
                <w:szCs w:val="28"/>
              </w:rPr>
            </w:pPr>
          </w:p>
        </w:tc>
        <w:tc>
          <w:tcPr>
            <w:tcW w:w="883" w:type="dxa"/>
            <w:noWrap w:val="0"/>
            <w:vAlign w:val="center"/>
          </w:tcPr>
          <w:p>
            <w:pPr>
              <w:pStyle w:val="35"/>
              <w:spacing w:line="400" w:lineRule="exact"/>
              <w:jc w:val="center"/>
              <w:rPr>
                <w:rFonts w:ascii="仿宋_GB2312" w:hAnsi="宋体"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96" w:type="dxa"/>
            <w:noWrap w:val="0"/>
            <w:vAlign w:val="center"/>
          </w:tcPr>
          <w:p>
            <w:pPr>
              <w:pStyle w:val="35"/>
              <w:spacing w:line="400" w:lineRule="exact"/>
              <w:jc w:val="center"/>
              <w:rPr>
                <w:rFonts w:ascii="仿宋_GB2312" w:hAnsi="宋体" w:eastAsia="仿宋_GB2312"/>
                <w:b/>
                <w:bCs/>
                <w:color w:val="000000"/>
                <w:sz w:val="28"/>
                <w:szCs w:val="28"/>
              </w:rPr>
            </w:pPr>
          </w:p>
        </w:tc>
        <w:tc>
          <w:tcPr>
            <w:tcW w:w="1418"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992" w:type="dxa"/>
            <w:noWrap w:val="0"/>
            <w:vAlign w:val="center"/>
          </w:tcPr>
          <w:p>
            <w:pPr>
              <w:pStyle w:val="35"/>
              <w:spacing w:line="400" w:lineRule="exact"/>
              <w:jc w:val="center"/>
              <w:rPr>
                <w:rFonts w:ascii="仿宋_GB2312" w:hAnsi="宋体" w:eastAsia="仿宋_GB2312"/>
                <w:b/>
                <w:bCs/>
                <w:color w:val="000000"/>
                <w:sz w:val="28"/>
                <w:szCs w:val="28"/>
              </w:rPr>
            </w:pPr>
          </w:p>
        </w:tc>
        <w:tc>
          <w:tcPr>
            <w:tcW w:w="3495" w:type="dxa"/>
            <w:noWrap w:val="0"/>
            <w:vAlign w:val="center"/>
          </w:tcPr>
          <w:p>
            <w:pPr>
              <w:pStyle w:val="35"/>
              <w:spacing w:line="400" w:lineRule="exact"/>
              <w:jc w:val="center"/>
              <w:rPr>
                <w:rFonts w:ascii="仿宋_GB2312" w:hAnsi="宋体" w:eastAsia="仿宋_GB2312"/>
                <w:b/>
                <w:bCs/>
                <w:color w:val="000000"/>
                <w:sz w:val="28"/>
                <w:szCs w:val="28"/>
              </w:rPr>
            </w:pPr>
          </w:p>
        </w:tc>
        <w:tc>
          <w:tcPr>
            <w:tcW w:w="881" w:type="dxa"/>
            <w:noWrap w:val="0"/>
            <w:vAlign w:val="center"/>
          </w:tcPr>
          <w:p>
            <w:pPr>
              <w:pStyle w:val="35"/>
              <w:spacing w:line="400" w:lineRule="exact"/>
              <w:jc w:val="center"/>
              <w:rPr>
                <w:rFonts w:ascii="仿宋_GB2312" w:hAnsi="宋体" w:eastAsia="仿宋_GB2312"/>
                <w:b/>
                <w:bCs/>
                <w:color w:val="000000"/>
                <w:sz w:val="28"/>
                <w:szCs w:val="28"/>
              </w:rPr>
            </w:pPr>
          </w:p>
        </w:tc>
        <w:tc>
          <w:tcPr>
            <w:tcW w:w="883" w:type="dxa"/>
            <w:noWrap w:val="0"/>
            <w:vAlign w:val="center"/>
          </w:tcPr>
          <w:p>
            <w:pPr>
              <w:pStyle w:val="35"/>
              <w:spacing w:line="400" w:lineRule="exact"/>
              <w:jc w:val="center"/>
              <w:rPr>
                <w:rFonts w:ascii="仿宋_GB2312" w:hAnsi="宋体"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2214" w:type="dxa"/>
            <w:gridSpan w:val="2"/>
            <w:noWrap w:val="0"/>
            <w:vAlign w:val="center"/>
          </w:tcPr>
          <w:p>
            <w:pPr>
              <w:pStyle w:val="35"/>
              <w:spacing w:line="400" w:lineRule="exact"/>
              <w:ind w:firstLine="0"/>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合 计</w:t>
            </w:r>
          </w:p>
        </w:tc>
        <w:tc>
          <w:tcPr>
            <w:tcW w:w="7243" w:type="dxa"/>
            <w:gridSpan w:val="5"/>
            <w:noWrap w:val="0"/>
            <w:vAlign w:val="center"/>
          </w:tcPr>
          <w:p>
            <w:pPr>
              <w:pStyle w:val="35"/>
              <w:spacing w:line="400" w:lineRule="exact"/>
              <w:ind w:firstLine="281" w:firstLineChars="100"/>
              <w:rPr>
                <w:rFonts w:ascii="仿宋_GB2312" w:hAnsi="宋体" w:eastAsia="仿宋_GB2312"/>
                <w:b/>
                <w:bCs/>
                <w:color w:val="000000"/>
                <w:sz w:val="28"/>
                <w:szCs w:val="28"/>
              </w:rPr>
            </w:pPr>
            <w:r>
              <w:rPr>
                <w:rFonts w:hint="eastAsia" w:ascii="仿宋_GB2312" w:hAnsi="宋体" w:eastAsia="仿宋_GB2312"/>
                <w:b/>
                <w:bCs/>
                <w:color w:val="000000"/>
                <w:sz w:val="28"/>
                <w:szCs w:val="28"/>
                <w:u w:val="single"/>
              </w:rPr>
              <w:t xml:space="preserve">           </w:t>
            </w:r>
            <w:r>
              <w:rPr>
                <w:rFonts w:hint="eastAsia" w:ascii="仿宋_GB2312" w:hAnsi="宋体" w:eastAsia="仿宋_GB2312"/>
                <w:b/>
                <w:bCs/>
                <w:color w:val="000000"/>
                <w:sz w:val="28"/>
                <w:szCs w:val="28"/>
              </w:rPr>
              <w:t>元（人民币大写</w:t>
            </w:r>
            <w:r>
              <w:rPr>
                <w:rFonts w:hint="eastAsia" w:ascii="仿宋_GB2312" w:hAnsi="宋体" w:eastAsia="仿宋_GB2312"/>
                <w:b/>
                <w:bCs/>
                <w:color w:val="000000"/>
                <w:sz w:val="28"/>
                <w:szCs w:val="28"/>
                <w:u w:val="single"/>
              </w:rPr>
              <w:t xml:space="preserve">                    </w:t>
            </w:r>
            <w:r>
              <w:rPr>
                <w:rFonts w:hint="eastAsia" w:ascii="仿宋_GB2312" w:hAnsi="宋体" w:eastAsia="仿宋_GB2312"/>
                <w:b/>
                <w:bCs/>
                <w:color w:val="000000"/>
                <w:sz w:val="28"/>
                <w:szCs w:val="28"/>
              </w:rPr>
              <w:t>）</w:t>
            </w:r>
          </w:p>
        </w:tc>
      </w:tr>
    </w:tbl>
    <w:p>
      <w:pPr>
        <w:spacing w:line="480" w:lineRule="exact"/>
        <w:ind w:left="480"/>
        <w:rPr>
          <w:bCs/>
          <w:color w:val="000000"/>
          <w:sz w:val="28"/>
          <w:szCs w:val="28"/>
        </w:rPr>
      </w:pPr>
    </w:p>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w:t>
      </w:r>
      <w:r>
        <w:rPr>
          <w:rFonts w:hint="eastAsia"/>
          <w:color w:val="000000"/>
          <w:sz w:val="28"/>
          <w:szCs w:val="28"/>
          <w:lang w:val="en-US" w:eastAsia="zh-CN"/>
        </w:rPr>
        <w:t>姓名</w:t>
      </w:r>
      <w:r>
        <w:rPr>
          <w:color w:val="000000"/>
          <w:sz w:val="28"/>
          <w:szCs w:val="28"/>
        </w:rPr>
        <w:t>：</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w:t>
      </w:r>
      <w:r>
        <w:rPr>
          <w:rFonts w:hint="eastAsia"/>
          <w:b/>
          <w:color w:val="000000"/>
          <w:sz w:val="28"/>
          <w:szCs w:val="28"/>
          <w:lang w:val="en-US" w:eastAsia="zh-CN"/>
        </w:rPr>
        <w:t>六</w:t>
      </w:r>
      <w:r>
        <w:rPr>
          <w:b/>
          <w:color w:val="000000"/>
          <w:sz w:val="28"/>
          <w:szCs w:val="28"/>
          <w:lang w:val="zh-CN"/>
        </w:rPr>
        <w:t>：</w:t>
      </w:r>
    </w:p>
    <w:p>
      <w:pPr>
        <w:autoSpaceDE w:val="0"/>
        <w:autoSpaceDN w:val="0"/>
        <w:adjustRightInd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质量保障措施和售后服务承诺书</w:t>
      </w:r>
    </w:p>
    <w:p>
      <w:pPr>
        <w:autoSpaceDE w:val="0"/>
        <w:autoSpaceDN w:val="0"/>
        <w:adjustRightInd w:val="0"/>
        <w:spacing w:line="360" w:lineRule="auto"/>
        <w:jc w:val="center"/>
        <w:rPr>
          <w:b/>
          <w:bCs/>
          <w:color w:val="000000"/>
          <w:kern w:val="0"/>
          <w:sz w:val="36"/>
          <w:szCs w:val="36"/>
          <w:lang w:val="zh-CN"/>
        </w:rPr>
      </w:pP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58</w:t>
      </w:r>
    </w:p>
    <w:p>
      <w:pPr>
        <w:snapToGrid w:val="0"/>
        <w:spacing w:line="360" w:lineRule="auto"/>
        <w:rPr>
          <w:rFonts w:hint="eastAsia"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衢州学院</w:t>
      </w:r>
      <w:r>
        <w:rPr>
          <w:rFonts w:hint="eastAsia" w:ascii="宋体" w:hAnsi="宋体" w:cs="宋体"/>
          <w:b/>
          <w:color w:val="000000"/>
          <w:sz w:val="32"/>
          <w:szCs w:val="32"/>
          <w:lang w:val="en-US" w:eastAsia="zh-CN"/>
        </w:rPr>
        <w:t>图书馆过渡搬迁项目</w:t>
      </w: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rPr>
            </w:pPr>
            <w:r>
              <w:rPr>
                <w:color w:val="auto"/>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360" w:lineRule="auto"/>
              <w:jc w:val="center"/>
              <w:rPr>
                <w:rFonts w:hint="eastAsia" w:eastAsia="宋体"/>
                <w:color w:val="auto"/>
                <w:kern w:val="0"/>
                <w:sz w:val="28"/>
                <w:szCs w:val="28"/>
                <w:lang w:val="en-US" w:eastAsia="zh-CN"/>
              </w:rPr>
            </w:pPr>
            <w:r>
              <w:rPr>
                <w:rFonts w:hint="eastAsia"/>
                <w:color w:val="auto"/>
                <w:kern w:val="0"/>
                <w:sz w:val="28"/>
                <w:szCs w:val="28"/>
                <w:lang w:val="zh-CN"/>
              </w:rPr>
              <w:t>质量保障措施和售后服务承</w:t>
            </w:r>
            <w:r>
              <w:rPr>
                <w:rFonts w:hint="eastAsia"/>
                <w:color w:val="auto"/>
                <w:kern w:val="0"/>
                <w:sz w:val="28"/>
                <w:szCs w:val="28"/>
                <w:lang w:val="en-US" w:eastAsia="zh-CN"/>
              </w:rPr>
              <w:t>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rPr>
            </w:pPr>
            <w:r>
              <w:rPr>
                <w:color w:val="auto"/>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rPr>
            </w:pPr>
            <w:r>
              <w:rPr>
                <w:color w:val="auto"/>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FF0000"/>
                <w:kern w:val="0"/>
                <w:sz w:val="28"/>
                <w:szCs w:val="28"/>
              </w:rPr>
            </w:pP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FF0000"/>
                <w:kern w:val="0"/>
                <w:sz w:val="28"/>
                <w:szCs w:val="28"/>
              </w:rPr>
            </w:pP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FF0000"/>
                <w:kern w:val="0"/>
                <w:sz w:val="28"/>
                <w:szCs w:val="28"/>
              </w:rPr>
            </w:pP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FF0000"/>
                <w:kern w:val="0"/>
                <w:sz w:val="28"/>
                <w:szCs w:val="28"/>
              </w:rPr>
            </w:pP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FF0000"/>
                <w:kern w:val="0"/>
                <w:sz w:val="28"/>
                <w:szCs w:val="28"/>
              </w:rPr>
            </w:pP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FF0000"/>
                <w:kern w:val="0"/>
                <w:sz w:val="28"/>
                <w:szCs w:val="28"/>
              </w:rPr>
            </w:pP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FF0000"/>
                <w:kern w:val="0"/>
                <w:sz w:val="28"/>
                <w:szCs w:val="28"/>
              </w:rPr>
            </w:pP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FF0000"/>
                <w:kern w:val="0"/>
                <w:sz w:val="28"/>
                <w:szCs w:val="28"/>
              </w:rPr>
            </w:pP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FF0000"/>
                <w:kern w:val="0"/>
                <w:sz w:val="28"/>
                <w:szCs w:val="28"/>
              </w:rPr>
            </w:pP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FF0000"/>
                <w:kern w:val="0"/>
                <w:sz w:val="28"/>
                <w:szCs w:val="28"/>
              </w:rPr>
            </w:pP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FF0000"/>
                <w:kern w:val="0"/>
                <w:sz w:val="28"/>
                <w:szCs w:val="28"/>
              </w:rPr>
            </w:pP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FF0000"/>
                <w:kern w:val="0"/>
                <w:sz w:val="28"/>
                <w:szCs w:val="28"/>
              </w:rPr>
            </w:pP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FF0000"/>
                <w:kern w:val="0"/>
                <w:sz w:val="28"/>
                <w:szCs w:val="28"/>
              </w:rPr>
            </w:pP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FF0000"/>
                <w:kern w:val="0"/>
                <w:sz w:val="28"/>
                <w:szCs w:val="28"/>
              </w:rPr>
            </w:pP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FF0000"/>
                <w:kern w:val="0"/>
                <w:sz w:val="28"/>
                <w:szCs w:val="28"/>
              </w:rPr>
            </w:pP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FF0000"/>
                <w:kern w:val="0"/>
                <w:sz w:val="28"/>
                <w:szCs w:val="28"/>
                <w:lang w:val="zh-CN"/>
              </w:rPr>
            </w:pP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FF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FF0000"/>
                <w:kern w:val="0"/>
                <w:sz w:val="28"/>
                <w:szCs w:val="28"/>
              </w:rPr>
            </w:pP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FF0000"/>
                <w:kern w:val="0"/>
                <w:sz w:val="28"/>
                <w:szCs w:val="28"/>
              </w:rPr>
            </w:pP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FF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FF0000"/>
                <w:kern w:val="0"/>
                <w:sz w:val="28"/>
                <w:szCs w:val="28"/>
              </w:rPr>
            </w:pPr>
          </w:p>
        </w:tc>
        <w:tc>
          <w:tcPr>
            <w:tcW w:w="40" w:type="dxa"/>
            <w:vAlign w:val="center"/>
          </w:tcPr>
          <w:p>
            <w:pPr>
              <w:widowControl/>
              <w:spacing w:line="440" w:lineRule="exact"/>
              <w:jc w:val="left"/>
              <w:rPr>
                <w:color w:val="FF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w:t>
      </w:r>
      <w:r>
        <w:rPr>
          <w:rFonts w:hint="eastAsia"/>
          <w:color w:val="000000"/>
          <w:sz w:val="28"/>
          <w:szCs w:val="28"/>
          <w:lang w:val="en-US" w:eastAsia="zh-CN"/>
        </w:rPr>
        <w:t>姓名</w:t>
      </w:r>
      <w:r>
        <w:rPr>
          <w:color w:val="000000"/>
          <w:sz w:val="28"/>
          <w:szCs w:val="28"/>
          <w:lang w:val="zh-CN"/>
        </w:rPr>
        <w:t>：</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w:t>
      </w:r>
      <w:r>
        <w:rPr>
          <w:rFonts w:hint="eastAsia"/>
          <w:b/>
          <w:color w:val="000000"/>
          <w:sz w:val="28"/>
          <w:szCs w:val="28"/>
          <w:lang w:val="en-US" w:eastAsia="zh-CN"/>
        </w:rPr>
        <w:t>七</w:t>
      </w:r>
      <w:r>
        <w:rPr>
          <w:b/>
          <w:color w:val="000000"/>
          <w:sz w:val="28"/>
          <w:szCs w:val="28"/>
        </w:rPr>
        <w:t>：</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58</w:t>
      </w:r>
    </w:p>
    <w:p>
      <w:pPr>
        <w:snapToGrid w:val="0"/>
        <w:spacing w:line="360" w:lineRule="auto"/>
        <w:rPr>
          <w:rFonts w:hint="default" w:ascii="宋体" w:hAnsi="宋体" w:cs="宋体"/>
          <w:b/>
          <w:color w:val="000000"/>
          <w:sz w:val="32"/>
          <w:szCs w:val="32"/>
          <w:lang w:val="en-US"/>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衢州学院</w:t>
      </w:r>
      <w:r>
        <w:rPr>
          <w:rFonts w:hint="eastAsia" w:ascii="宋体" w:hAnsi="宋体" w:cs="宋体"/>
          <w:b/>
          <w:color w:val="000000"/>
          <w:sz w:val="32"/>
          <w:szCs w:val="32"/>
          <w:lang w:val="en-US" w:eastAsia="zh-CN"/>
        </w:rPr>
        <w:t>图书馆过渡搬迁项目</w:t>
      </w:r>
    </w:p>
    <w:tbl>
      <w:tblPr>
        <w:tblStyle w:val="17"/>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w:t>
      </w:r>
      <w:r>
        <w:rPr>
          <w:rFonts w:hint="eastAsia"/>
          <w:color w:val="000000"/>
          <w:sz w:val="28"/>
          <w:szCs w:val="28"/>
          <w:lang w:val="en-US" w:eastAsia="zh-CN"/>
        </w:rPr>
        <w:t>姓名</w:t>
      </w:r>
      <w:r>
        <w:rPr>
          <w:color w:val="000000"/>
          <w:sz w:val="28"/>
          <w:szCs w:val="28"/>
          <w:lang w:val="zh-CN"/>
        </w:rPr>
        <w:t>：</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val="en-US" w:eastAsia="zh-CN"/>
        </w:rPr>
        <w:t>八</w:t>
      </w:r>
      <w:r>
        <w:rPr>
          <w:rFonts w:hint="eastAsia" w:ascii="宋体" w:hAnsi="宋体" w:cs="宋体"/>
          <w:b/>
          <w:color w:val="000000"/>
          <w:sz w:val="28"/>
          <w:szCs w:val="28"/>
        </w:rPr>
        <w:t>：</w:t>
      </w:r>
    </w:p>
    <w:p>
      <w:pPr>
        <w:spacing w:line="500" w:lineRule="exact"/>
        <w:jc w:val="center"/>
        <w:rPr>
          <w:rFonts w:hint="eastAsia" w:ascii="宋体" w:hAnsi="宋体" w:cs="宋体"/>
          <w:b/>
          <w:bCs/>
          <w:sz w:val="28"/>
          <w:szCs w:val="28"/>
        </w:rPr>
      </w:pPr>
      <w:r>
        <w:rPr>
          <w:rFonts w:hint="eastAsia" w:ascii="宋体" w:hAnsi="宋体" w:cs="宋体"/>
          <w:b/>
          <w:bCs/>
          <w:sz w:val="28"/>
          <w:szCs w:val="28"/>
        </w:rPr>
        <w:t>中小企业声明函（服务）</w:t>
      </w:r>
    </w:p>
    <w:p>
      <w:pPr>
        <w:spacing w:line="500" w:lineRule="exact"/>
        <w:jc w:val="center"/>
        <w:rPr>
          <w:rFonts w:hint="eastAsia" w:ascii="宋体" w:hAnsi="宋体" w:cs="宋体"/>
        </w:rPr>
      </w:pPr>
    </w:p>
    <w:p>
      <w:pPr>
        <w:spacing w:line="500" w:lineRule="exact"/>
        <w:ind w:firstLine="560" w:firstLineChars="200"/>
        <w:rPr>
          <w:rFonts w:hint="eastAsia"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hint="eastAsia"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hint="eastAsia" w:ascii="宋体" w:hAnsi="宋体" w:cs="宋体"/>
          <w:sz w:val="28"/>
          <w:szCs w:val="28"/>
        </w:rPr>
      </w:pPr>
    </w:p>
    <w:p>
      <w:pPr>
        <w:spacing w:line="500" w:lineRule="exact"/>
        <w:ind w:firstLine="4340" w:firstLineChars="1550"/>
        <w:rPr>
          <w:rFonts w:hint="eastAsia"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hint="eastAsia" w:ascii="宋体" w:hAnsi="宋体" w:cs="宋体"/>
          <w:sz w:val="28"/>
          <w:szCs w:val="28"/>
        </w:rPr>
      </w:pPr>
      <w:r>
        <w:rPr>
          <w:rFonts w:hint="eastAsia" w:ascii="宋体" w:hAnsi="宋体" w:cs="宋体"/>
          <w:sz w:val="28"/>
          <w:szCs w:val="28"/>
        </w:rPr>
        <w:t>日 期：</w:t>
      </w:r>
    </w:p>
    <w:p>
      <w:pPr>
        <w:spacing w:line="500" w:lineRule="exact"/>
        <w:rPr>
          <w:rFonts w:hint="eastAsia" w:ascii="宋体" w:hAnsi="宋体" w:cs="宋体"/>
          <w:b/>
          <w:spacing w:val="6"/>
          <w:sz w:val="28"/>
          <w:szCs w:val="28"/>
        </w:rPr>
      </w:pPr>
    </w:p>
    <w:p>
      <w:pPr>
        <w:pStyle w:val="10"/>
        <w:spacing w:line="500" w:lineRule="exact"/>
        <w:jc w:val="center"/>
        <w:rPr>
          <w:rFonts w:hint="eastAsia" w:hAnsi="宋体" w:cs="宋体"/>
          <w:sz w:val="28"/>
          <w:szCs w:val="28"/>
        </w:rPr>
      </w:pPr>
    </w:p>
    <w:p>
      <w:pPr>
        <w:pStyle w:val="27"/>
        <w:spacing w:line="500" w:lineRule="exact"/>
        <w:ind w:firstLine="551" w:firstLineChars="196"/>
        <w:rPr>
          <w:rFonts w:hint="eastAsia" w:ascii="宋体" w:eastAsia="宋体" w:cs="宋体"/>
          <w:b/>
          <w:bCs/>
          <w:sz w:val="28"/>
        </w:rPr>
      </w:pPr>
      <w:r>
        <w:rPr>
          <w:rFonts w:hint="eastAsia" w:ascii="宋体" w:eastAsia="宋体" w:cs="宋体"/>
          <w:b/>
          <w:bCs/>
          <w:sz w:val="28"/>
        </w:rPr>
        <w:t>注：1.</w:t>
      </w:r>
      <w:r>
        <w:rPr>
          <w:rFonts w:hint="eastAsia" w:ascii="宋体" w:eastAsia="宋体" w:cs="宋体"/>
          <w:sz w:val="18"/>
          <w:szCs w:val="18"/>
        </w:rPr>
        <w:t xml:space="preserve"> </w:t>
      </w:r>
      <w:r>
        <w:rPr>
          <w:rFonts w:hint="eastAsia" w:ascii="宋体" w:eastAsia="宋体" w:cs="宋体"/>
          <w:b/>
          <w:bCs/>
          <w:sz w:val="28"/>
        </w:rPr>
        <w:t>从业人员、营业收入、资产总额填报上一年度数据，无上一年度数据的新成立企业可不填报。</w:t>
      </w:r>
    </w:p>
    <w:p>
      <w:pPr>
        <w:pStyle w:val="27"/>
        <w:spacing w:line="500" w:lineRule="exact"/>
        <w:ind w:firstLine="551" w:firstLineChars="196"/>
        <w:rPr>
          <w:rFonts w:hint="eastAsia" w:ascii="宋体" w:eastAsia="宋体" w:cs="宋体"/>
          <w:b/>
          <w:bCs/>
          <w:sz w:val="28"/>
        </w:rPr>
      </w:pPr>
      <w:r>
        <w:rPr>
          <w:rFonts w:hint="eastAsia" w:ascii="宋体" w:eastAsia="宋体" w:cs="宋体"/>
          <w:b/>
          <w:bCs/>
          <w:sz w:val="28"/>
        </w:rPr>
        <w:t xml:space="preserve">    2.服务类(软件类及其他服务类)项目采购填此声明函。</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w:t>
      </w:r>
      <w:r>
        <w:rPr>
          <w:rFonts w:hint="eastAsia" w:ascii="宋体" w:hAnsi="宋体" w:cs="宋体"/>
          <w:b/>
          <w:sz w:val="28"/>
          <w:szCs w:val="28"/>
          <w:lang w:val="en-US" w:eastAsia="zh-CN"/>
        </w:rPr>
        <w:t>九</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1"/>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7"/>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Neue LT 55 Roman">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2000503000000020004"/>
    <w:charset w:val="00"/>
    <w:family w:val="auto"/>
    <w:pitch w:val="default"/>
    <w:sig w:usb0="00000000" w:usb1="00000000" w:usb2="0000001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w:t>
    </w:r>
    <w:r>
      <w:rPr>
        <w:rFonts w:hint="eastAsia" w:ascii="宋体" w:hAnsi="宋体"/>
        <w:lang w:val="en-US" w:eastAsia="zh-CN"/>
      </w:rPr>
      <w:t>2-58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D7BEB"/>
    <w:multiLevelType w:val="singleLevel"/>
    <w:tmpl w:val="C75D7BEB"/>
    <w:lvl w:ilvl="0" w:tentative="0">
      <w:start w:val="1"/>
      <w:numFmt w:val="chineseCounting"/>
      <w:suff w:val="nothing"/>
      <w:lvlText w:val="%1、"/>
      <w:lvlJc w:val="left"/>
      <w:rPr>
        <w:rFonts w:hint="eastAsia"/>
      </w:rPr>
    </w:lvl>
  </w:abstractNum>
  <w:abstractNum w:abstractNumId="1">
    <w:nsid w:val="12647D88"/>
    <w:multiLevelType w:val="singleLevel"/>
    <w:tmpl w:val="12647D88"/>
    <w:lvl w:ilvl="0" w:tentative="0">
      <w:start w:val="2"/>
      <w:numFmt w:val="decimal"/>
      <w:lvlText w:val="%1."/>
      <w:lvlJc w:val="left"/>
      <w:pPr>
        <w:tabs>
          <w:tab w:val="left" w:pos="312"/>
        </w:tabs>
      </w:pPr>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54657A9"/>
    <w:rsid w:val="0066795B"/>
    <w:rsid w:val="0108164F"/>
    <w:rsid w:val="02F23728"/>
    <w:rsid w:val="0321400D"/>
    <w:rsid w:val="03465822"/>
    <w:rsid w:val="03E66F82"/>
    <w:rsid w:val="047210C2"/>
    <w:rsid w:val="04B102AE"/>
    <w:rsid w:val="04EF212A"/>
    <w:rsid w:val="051F457C"/>
    <w:rsid w:val="054B313A"/>
    <w:rsid w:val="055B3806"/>
    <w:rsid w:val="0585580A"/>
    <w:rsid w:val="05F467EB"/>
    <w:rsid w:val="06224324"/>
    <w:rsid w:val="076B0C17"/>
    <w:rsid w:val="078828AD"/>
    <w:rsid w:val="07A50D69"/>
    <w:rsid w:val="09137F54"/>
    <w:rsid w:val="0926412B"/>
    <w:rsid w:val="09322AD0"/>
    <w:rsid w:val="09972933"/>
    <w:rsid w:val="09B07E99"/>
    <w:rsid w:val="09FA492C"/>
    <w:rsid w:val="0B957346"/>
    <w:rsid w:val="0B9F01C5"/>
    <w:rsid w:val="0BFE1363"/>
    <w:rsid w:val="0C712CDF"/>
    <w:rsid w:val="0CC934B8"/>
    <w:rsid w:val="0CF307C8"/>
    <w:rsid w:val="0E641029"/>
    <w:rsid w:val="0EB2798B"/>
    <w:rsid w:val="0FC85F3C"/>
    <w:rsid w:val="1049412F"/>
    <w:rsid w:val="104E74EA"/>
    <w:rsid w:val="123A720E"/>
    <w:rsid w:val="12550960"/>
    <w:rsid w:val="125D233B"/>
    <w:rsid w:val="12B26A30"/>
    <w:rsid w:val="13C92283"/>
    <w:rsid w:val="147246C9"/>
    <w:rsid w:val="148B28EE"/>
    <w:rsid w:val="152F25BA"/>
    <w:rsid w:val="15435F44"/>
    <w:rsid w:val="159B7C4F"/>
    <w:rsid w:val="15F14021"/>
    <w:rsid w:val="16096967"/>
    <w:rsid w:val="163C4F8E"/>
    <w:rsid w:val="16974786"/>
    <w:rsid w:val="16FE0496"/>
    <w:rsid w:val="19A86DB6"/>
    <w:rsid w:val="19B7035C"/>
    <w:rsid w:val="19D14EA8"/>
    <w:rsid w:val="1A935399"/>
    <w:rsid w:val="1C4F67E6"/>
    <w:rsid w:val="1C7A6810"/>
    <w:rsid w:val="1CAD53EA"/>
    <w:rsid w:val="1D6152DA"/>
    <w:rsid w:val="1D6A0633"/>
    <w:rsid w:val="1DCD348A"/>
    <w:rsid w:val="1E3824DF"/>
    <w:rsid w:val="1F3F5876"/>
    <w:rsid w:val="1F49071C"/>
    <w:rsid w:val="1F877BDE"/>
    <w:rsid w:val="20F36B91"/>
    <w:rsid w:val="21CA5B44"/>
    <w:rsid w:val="21EC2590"/>
    <w:rsid w:val="223D275B"/>
    <w:rsid w:val="22BE4F7D"/>
    <w:rsid w:val="238735C1"/>
    <w:rsid w:val="24651B54"/>
    <w:rsid w:val="24831FDA"/>
    <w:rsid w:val="257F6C45"/>
    <w:rsid w:val="26235823"/>
    <w:rsid w:val="263A491A"/>
    <w:rsid w:val="265C6513"/>
    <w:rsid w:val="26C30DB4"/>
    <w:rsid w:val="273F3187"/>
    <w:rsid w:val="27846795"/>
    <w:rsid w:val="28AB7D51"/>
    <w:rsid w:val="294E705B"/>
    <w:rsid w:val="29BB2216"/>
    <w:rsid w:val="29C27101"/>
    <w:rsid w:val="29CD2B99"/>
    <w:rsid w:val="29D532D8"/>
    <w:rsid w:val="29E96D83"/>
    <w:rsid w:val="29EE439A"/>
    <w:rsid w:val="2A257690"/>
    <w:rsid w:val="2AF02071"/>
    <w:rsid w:val="2B250863"/>
    <w:rsid w:val="2BA46E5E"/>
    <w:rsid w:val="2C063C1D"/>
    <w:rsid w:val="2C961F78"/>
    <w:rsid w:val="2D5374DB"/>
    <w:rsid w:val="2D551698"/>
    <w:rsid w:val="2D960FD0"/>
    <w:rsid w:val="2DB476A8"/>
    <w:rsid w:val="2EEE4A11"/>
    <w:rsid w:val="2F011A5C"/>
    <w:rsid w:val="2F146650"/>
    <w:rsid w:val="2F2B399A"/>
    <w:rsid w:val="2FF26266"/>
    <w:rsid w:val="30142D46"/>
    <w:rsid w:val="30197C97"/>
    <w:rsid w:val="30444D13"/>
    <w:rsid w:val="31EF0243"/>
    <w:rsid w:val="32056724"/>
    <w:rsid w:val="335F1444"/>
    <w:rsid w:val="33E90272"/>
    <w:rsid w:val="34676A74"/>
    <w:rsid w:val="35246EC1"/>
    <w:rsid w:val="364F4412"/>
    <w:rsid w:val="37277974"/>
    <w:rsid w:val="373A0C1E"/>
    <w:rsid w:val="37A10C9D"/>
    <w:rsid w:val="385B0E4C"/>
    <w:rsid w:val="393A3157"/>
    <w:rsid w:val="3B0909A0"/>
    <w:rsid w:val="3C4E12EC"/>
    <w:rsid w:val="3CCC3378"/>
    <w:rsid w:val="3CF01FCD"/>
    <w:rsid w:val="3D3A767E"/>
    <w:rsid w:val="3D4B238E"/>
    <w:rsid w:val="3D627D66"/>
    <w:rsid w:val="3E1A3557"/>
    <w:rsid w:val="3E2D58F5"/>
    <w:rsid w:val="3EAD617A"/>
    <w:rsid w:val="3EAF1EF2"/>
    <w:rsid w:val="3F366E15"/>
    <w:rsid w:val="3F8E0620"/>
    <w:rsid w:val="3F9A0B90"/>
    <w:rsid w:val="400B13AA"/>
    <w:rsid w:val="404E573A"/>
    <w:rsid w:val="40D519B8"/>
    <w:rsid w:val="410D513C"/>
    <w:rsid w:val="41142B39"/>
    <w:rsid w:val="41220B24"/>
    <w:rsid w:val="416B7C26"/>
    <w:rsid w:val="418C651A"/>
    <w:rsid w:val="41B45A71"/>
    <w:rsid w:val="41C21F3C"/>
    <w:rsid w:val="42D82601"/>
    <w:rsid w:val="441445A5"/>
    <w:rsid w:val="44A973E3"/>
    <w:rsid w:val="45EB778E"/>
    <w:rsid w:val="46517D32"/>
    <w:rsid w:val="46852BFB"/>
    <w:rsid w:val="47246F9A"/>
    <w:rsid w:val="478A34FC"/>
    <w:rsid w:val="483C1EFC"/>
    <w:rsid w:val="48623B31"/>
    <w:rsid w:val="48D662CD"/>
    <w:rsid w:val="491C0184"/>
    <w:rsid w:val="49C16F7D"/>
    <w:rsid w:val="4A071D8F"/>
    <w:rsid w:val="4A1319FF"/>
    <w:rsid w:val="4A4A6F73"/>
    <w:rsid w:val="4BDD4118"/>
    <w:rsid w:val="4C567E51"/>
    <w:rsid w:val="4C917169"/>
    <w:rsid w:val="4CBB4F45"/>
    <w:rsid w:val="4CC53AED"/>
    <w:rsid w:val="4D4C36BA"/>
    <w:rsid w:val="4D9A1059"/>
    <w:rsid w:val="4DDE5C45"/>
    <w:rsid w:val="4DF20D58"/>
    <w:rsid w:val="4E4C6D53"/>
    <w:rsid w:val="4E7D7917"/>
    <w:rsid w:val="4E843A53"/>
    <w:rsid w:val="4E9C5EDE"/>
    <w:rsid w:val="4F04740D"/>
    <w:rsid w:val="50265D8C"/>
    <w:rsid w:val="505E7C37"/>
    <w:rsid w:val="50F644C2"/>
    <w:rsid w:val="51937451"/>
    <w:rsid w:val="51A34F42"/>
    <w:rsid w:val="522307D5"/>
    <w:rsid w:val="525C3CE7"/>
    <w:rsid w:val="52B42038"/>
    <w:rsid w:val="53342EFB"/>
    <w:rsid w:val="53364538"/>
    <w:rsid w:val="5463135D"/>
    <w:rsid w:val="54AD082A"/>
    <w:rsid w:val="554657A9"/>
    <w:rsid w:val="562D572B"/>
    <w:rsid w:val="563D5BDD"/>
    <w:rsid w:val="56454E48"/>
    <w:rsid w:val="569021B1"/>
    <w:rsid w:val="56CB143B"/>
    <w:rsid w:val="57160908"/>
    <w:rsid w:val="573440B2"/>
    <w:rsid w:val="57FA1722"/>
    <w:rsid w:val="58DA3BB7"/>
    <w:rsid w:val="58F92290"/>
    <w:rsid w:val="59E36A9C"/>
    <w:rsid w:val="5A694668"/>
    <w:rsid w:val="5AD22D98"/>
    <w:rsid w:val="5AF36323"/>
    <w:rsid w:val="5C6F4617"/>
    <w:rsid w:val="5CCE57E1"/>
    <w:rsid w:val="5CCE5879"/>
    <w:rsid w:val="5CE60D7D"/>
    <w:rsid w:val="5DD15589"/>
    <w:rsid w:val="5EA27B33"/>
    <w:rsid w:val="5F2E6A0B"/>
    <w:rsid w:val="607E05F0"/>
    <w:rsid w:val="60E750C3"/>
    <w:rsid w:val="61466860"/>
    <w:rsid w:val="61483DB4"/>
    <w:rsid w:val="61A84853"/>
    <w:rsid w:val="61D75138"/>
    <w:rsid w:val="62227A9D"/>
    <w:rsid w:val="62781718"/>
    <w:rsid w:val="62851879"/>
    <w:rsid w:val="63D133A8"/>
    <w:rsid w:val="63F7122F"/>
    <w:rsid w:val="640D3093"/>
    <w:rsid w:val="644665A5"/>
    <w:rsid w:val="645050CE"/>
    <w:rsid w:val="64D8544F"/>
    <w:rsid w:val="650A4408"/>
    <w:rsid w:val="65AC068A"/>
    <w:rsid w:val="65CA18FA"/>
    <w:rsid w:val="66112725"/>
    <w:rsid w:val="663C1A0D"/>
    <w:rsid w:val="66546918"/>
    <w:rsid w:val="66664CDC"/>
    <w:rsid w:val="667B2536"/>
    <w:rsid w:val="6815073B"/>
    <w:rsid w:val="688E7ACE"/>
    <w:rsid w:val="69244C99"/>
    <w:rsid w:val="69254542"/>
    <w:rsid w:val="69D85D5B"/>
    <w:rsid w:val="6A1C5DDE"/>
    <w:rsid w:val="6A7A48B2"/>
    <w:rsid w:val="6B2807B2"/>
    <w:rsid w:val="6CD17AF5"/>
    <w:rsid w:val="6DD4077E"/>
    <w:rsid w:val="6E36784A"/>
    <w:rsid w:val="6E7D0E15"/>
    <w:rsid w:val="6EB07506"/>
    <w:rsid w:val="6ECE341F"/>
    <w:rsid w:val="6F0137F4"/>
    <w:rsid w:val="70001CFE"/>
    <w:rsid w:val="702754DC"/>
    <w:rsid w:val="704829A6"/>
    <w:rsid w:val="704E4817"/>
    <w:rsid w:val="706C06D6"/>
    <w:rsid w:val="708B73D8"/>
    <w:rsid w:val="70A15166"/>
    <w:rsid w:val="70DA254F"/>
    <w:rsid w:val="714D4ACF"/>
    <w:rsid w:val="71662034"/>
    <w:rsid w:val="71704C61"/>
    <w:rsid w:val="71E01D63"/>
    <w:rsid w:val="727142C0"/>
    <w:rsid w:val="72B50A3A"/>
    <w:rsid w:val="731004AA"/>
    <w:rsid w:val="73463ECB"/>
    <w:rsid w:val="735F4F8D"/>
    <w:rsid w:val="73974230"/>
    <w:rsid w:val="742F2BB2"/>
    <w:rsid w:val="75497CA3"/>
    <w:rsid w:val="75A22BE5"/>
    <w:rsid w:val="75A5523A"/>
    <w:rsid w:val="75A82C1C"/>
    <w:rsid w:val="75AA6994"/>
    <w:rsid w:val="763B7C25"/>
    <w:rsid w:val="771D3195"/>
    <w:rsid w:val="786B5A9A"/>
    <w:rsid w:val="79D25462"/>
    <w:rsid w:val="7A777060"/>
    <w:rsid w:val="7A816433"/>
    <w:rsid w:val="7B8B50A6"/>
    <w:rsid w:val="7BA518A6"/>
    <w:rsid w:val="7BB340C8"/>
    <w:rsid w:val="7BFF2E69"/>
    <w:rsid w:val="7C66738C"/>
    <w:rsid w:val="7C87526F"/>
    <w:rsid w:val="7CB1685A"/>
    <w:rsid w:val="7E2E3EDA"/>
    <w:rsid w:val="7EAB552B"/>
    <w:rsid w:val="7EE958F5"/>
    <w:rsid w:val="7F113BA9"/>
    <w:rsid w:val="7F4C47AF"/>
    <w:rsid w:val="7FD33F08"/>
    <w:rsid w:val="7FE6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spacing w:line="360" w:lineRule="auto"/>
      <w:jc w:val="center"/>
      <w:outlineLvl w:val="0"/>
    </w:pPr>
    <w:rPr>
      <w:rFonts w:ascii="黑体"/>
      <w:b/>
      <w:kern w:val="0"/>
      <w:sz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table of authorities"/>
    <w:next w:val="1"/>
    <w:unhideWhenUsed/>
    <w:qFormat/>
    <w:uiPriority w:val="99"/>
    <w:pPr>
      <w:widowControl w:val="0"/>
      <w:ind w:left="420" w:leftChars="200"/>
      <w:jc w:val="both"/>
    </w:pPr>
    <w:rPr>
      <w:rFonts w:ascii="Times New Roman" w:hAnsi="Times New Roman" w:eastAsia="宋体" w:cs="Times New Roman"/>
      <w:kern w:val="2"/>
      <w:sz w:val="24"/>
      <w:szCs w:val="22"/>
      <w:lang w:val="en-US" w:eastAsia="zh-CN" w:bidi="ar-SA"/>
    </w:r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spacing w:after="120"/>
      <w:ind w:left="420" w:leftChars="200"/>
    </w:pPr>
  </w:style>
  <w:style w:type="paragraph" w:styleId="8">
    <w:name w:val="annotation text"/>
    <w:basedOn w:val="1"/>
    <w:qFormat/>
    <w:uiPriority w:val="0"/>
    <w:pPr>
      <w:jc w:val="left"/>
    </w:pPr>
  </w:style>
  <w:style w:type="paragraph" w:styleId="9">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10">
    <w:name w:val="Plain Text"/>
    <w:basedOn w:val="1"/>
    <w:next w:val="6"/>
    <w:qFormat/>
    <w:uiPriority w:val="99"/>
    <w:pPr>
      <w:widowControl/>
      <w:overflowPunct w:val="0"/>
      <w:autoSpaceDE w:val="0"/>
      <w:autoSpaceDN w:val="0"/>
      <w:adjustRightInd w:val="0"/>
      <w:spacing w:line="20" w:lineRule="atLeast"/>
      <w:jc w:val="left"/>
      <w:textAlignment w:val="baseline"/>
    </w:pPr>
    <w:rPr>
      <w:rFonts w:ascii="宋体" w:hAnsi="宋体" w:eastAsia="宋体"/>
      <w:kern w:val="0"/>
      <w:szCs w:val="20"/>
    </w:rPr>
  </w:style>
  <w:style w:type="paragraph" w:styleId="11">
    <w:name w:val="Date"/>
    <w:basedOn w:val="1"/>
    <w:next w:val="1"/>
    <w:qFormat/>
    <w:uiPriority w:val="0"/>
    <w:pPr>
      <w:ind w:left="100" w:leftChars="2500"/>
    </w:pPr>
    <w:rPr>
      <w:rFonts w:ascii="仿宋_GB2312" w:eastAsia="仿宋_GB2312"/>
      <w:b/>
      <w:sz w:val="36"/>
      <w:szCs w:val="36"/>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Body Text First Indent"/>
    <w:basedOn w:val="9"/>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6">
    <w:name w:val="Body Text First Indent 2"/>
    <w:basedOn w:val="7"/>
    <w:next w:val="15"/>
    <w:qFormat/>
    <w:uiPriority w:val="99"/>
    <w:pPr>
      <w:ind w:firstLine="420" w:firstLineChars="200"/>
    </w:pPr>
    <w:rPr>
      <w:rFonts w:ascii="Arial" w:hAnsi="Arial"/>
      <w:sz w:val="22"/>
      <w:lang w:eastAsia="en-US"/>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Normal]"/>
    <w:qFormat/>
    <w:uiPriority w:val="6"/>
    <w:rPr>
      <w:rFonts w:ascii="宋体" w:hAnsi="宋体" w:eastAsia="宋体" w:cs="Times New Roman"/>
      <w:sz w:val="24"/>
      <w:szCs w:val="22"/>
      <w:lang w:val="zh-CN" w:eastAsia="zh-CN" w:bidi="ar-SA"/>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qFormat/>
    <w:uiPriority w:val="34"/>
    <w:pPr>
      <w:ind w:firstLine="420" w:firstLineChars="200"/>
    </w:pPr>
  </w:style>
  <w:style w:type="paragraph" w:customStyle="1" w:styleId="23">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8">
    <w:name w:val="NormalCharacter"/>
    <w:qFormat/>
    <w:uiPriority w:val="0"/>
  </w:style>
  <w:style w:type="paragraph" w:customStyle="1" w:styleId="29">
    <w:name w:val="No Spacing1"/>
    <w:qFormat/>
    <w:uiPriority w:val="0"/>
    <w:rPr>
      <w:rFonts w:ascii="Times New Roman" w:hAnsi="Times New Roman" w:eastAsia="宋体" w:cs="Times New Roman"/>
      <w:sz w:val="22"/>
      <w:lang w:val="en-US" w:eastAsia="en-US" w:bidi="ar-SA"/>
    </w:rPr>
  </w:style>
  <w:style w:type="paragraph" w:customStyle="1" w:styleId="30">
    <w:name w:val="默认"/>
    <w:qFormat/>
    <w:uiPriority w:val="0"/>
    <w:rPr>
      <w:rFonts w:hint="eastAsia" w:ascii="Arial Unicode MS" w:hAnsi="Arial Unicode MS" w:eastAsia="Arial Unicode MS" w:cs="Arial Unicode MS"/>
      <w:color w:val="000000"/>
      <w:sz w:val="22"/>
      <w:szCs w:val="22"/>
      <w:lang w:val="zh-TW" w:eastAsia="zh-TW" w:bidi="ar-SA"/>
    </w:rPr>
  </w:style>
  <w:style w:type="character" w:customStyle="1" w:styleId="31">
    <w:name w:val="页码2"/>
    <w:basedOn w:val="19"/>
    <w:qFormat/>
    <w:uiPriority w:val="0"/>
  </w:style>
  <w:style w:type="paragraph" w:customStyle="1" w:styleId="32">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3">
    <w:name w:val="font31"/>
    <w:basedOn w:val="19"/>
    <w:qFormat/>
    <w:uiPriority w:val="0"/>
    <w:rPr>
      <w:rFonts w:hint="eastAsia" w:ascii="宋体" w:hAnsi="宋体" w:eastAsia="宋体" w:cs="宋体"/>
      <w:color w:val="000000"/>
      <w:sz w:val="24"/>
      <w:szCs w:val="24"/>
      <w:u w:val="none"/>
    </w:rPr>
  </w:style>
  <w:style w:type="character" w:customStyle="1" w:styleId="34">
    <w:name w:val="font11"/>
    <w:basedOn w:val="19"/>
    <w:qFormat/>
    <w:uiPriority w:val="0"/>
    <w:rPr>
      <w:rFonts w:hint="eastAsia" w:ascii="宋体" w:hAnsi="宋体" w:eastAsia="宋体" w:cs="宋体"/>
      <w:color w:val="171A1D"/>
      <w:sz w:val="24"/>
      <w:szCs w:val="24"/>
      <w:u w:val="none"/>
    </w:rPr>
  </w:style>
  <w:style w:type="paragraph" w:customStyle="1" w:styleId="35">
    <w:name w:val="正文缩进1"/>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16185</Words>
  <Characters>17277</Characters>
  <Lines>0</Lines>
  <Paragraphs>0</Paragraphs>
  <TotalTime>24</TotalTime>
  <ScaleCrop>false</ScaleCrop>
  <LinksUpToDate>false</LinksUpToDate>
  <CharactersWithSpaces>19039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cp:lastPrinted>2022-11-30T07:40:22Z</cp:lastPrinted>
  <dcterms:modified xsi:type="dcterms:W3CDTF">2022-11-30T07:54:02Z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