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ascii="宋体" w:hAnsi="宋体" w:cs="宋体"/>
          <w:b/>
          <w:color w:val="000000"/>
          <w:spacing w:val="-11"/>
          <w:kern w:val="0"/>
          <w:sz w:val="44"/>
          <w:szCs w:val="44"/>
        </w:rPr>
        <w:t>冷</w:t>
      </w:r>
      <w:r>
        <w:rPr>
          <w:rFonts w:hint="eastAsia" w:ascii="宋体" w:hAnsi="宋体" w:cs="宋体"/>
          <w:b/>
          <w:color w:val="000000"/>
          <w:spacing w:val="-11"/>
          <w:kern w:val="0"/>
          <w:sz w:val="44"/>
          <w:szCs w:val="44"/>
          <w:lang w:val="en-US" w:eastAsia="zh-CN"/>
        </w:rPr>
        <w:t xml:space="preserve"> </w:t>
      </w:r>
      <w:r>
        <w:rPr>
          <w:rFonts w:ascii="宋体" w:hAnsi="宋体" w:cs="宋体"/>
          <w:b/>
          <w:color w:val="000000"/>
          <w:spacing w:val="-11"/>
          <w:kern w:val="0"/>
          <w:sz w:val="44"/>
          <w:szCs w:val="44"/>
        </w:rPr>
        <w:t>等</w:t>
      </w:r>
      <w:r>
        <w:rPr>
          <w:rFonts w:hint="eastAsia" w:ascii="宋体" w:hAnsi="宋体" w:cs="宋体"/>
          <w:b/>
          <w:color w:val="000000"/>
          <w:spacing w:val="-11"/>
          <w:kern w:val="0"/>
          <w:sz w:val="44"/>
          <w:szCs w:val="44"/>
          <w:lang w:val="en-US" w:eastAsia="zh-CN"/>
        </w:rPr>
        <w:t xml:space="preserve"> </w:t>
      </w:r>
      <w:r>
        <w:rPr>
          <w:rFonts w:ascii="宋体" w:hAnsi="宋体" w:cs="宋体"/>
          <w:b/>
          <w:color w:val="000000"/>
          <w:spacing w:val="-11"/>
          <w:kern w:val="0"/>
          <w:sz w:val="44"/>
          <w:szCs w:val="44"/>
        </w:rPr>
        <w:t>静</w:t>
      </w:r>
      <w:r>
        <w:rPr>
          <w:rFonts w:hint="eastAsia" w:ascii="宋体" w:hAnsi="宋体" w:cs="宋体"/>
          <w:b/>
          <w:color w:val="000000"/>
          <w:spacing w:val="-11"/>
          <w:kern w:val="0"/>
          <w:sz w:val="44"/>
          <w:szCs w:val="44"/>
          <w:lang w:val="en-US" w:eastAsia="zh-CN"/>
        </w:rPr>
        <w:t xml:space="preserve"> </w:t>
      </w:r>
      <w:r>
        <w:rPr>
          <w:rFonts w:ascii="宋体" w:hAnsi="宋体" w:cs="宋体"/>
          <w:b/>
          <w:color w:val="000000"/>
          <w:spacing w:val="-11"/>
          <w:kern w:val="0"/>
          <w:sz w:val="44"/>
          <w:szCs w:val="44"/>
        </w:rPr>
        <w:t>压</w:t>
      </w:r>
      <w:r>
        <w:rPr>
          <w:rFonts w:hint="eastAsia" w:ascii="宋体" w:hAnsi="宋体" w:cs="宋体"/>
          <w:b/>
          <w:color w:val="000000"/>
          <w:spacing w:val="-11"/>
          <w:kern w:val="0"/>
          <w:sz w:val="44"/>
          <w:szCs w:val="44"/>
          <w:lang w:val="en-US" w:eastAsia="zh-CN"/>
        </w:rPr>
        <w:t xml:space="preserve"> </w:t>
      </w:r>
      <w:r>
        <w:rPr>
          <w:rFonts w:ascii="宋体" w:hAnsi="宋体" w:cs="宋体"/>
          <w:b/>
          <w:color w:val="000000"/>
          <w:spacing w:val="-11"/>
          <w:kern w:val="0"/>
          <w:sz w:val="44"/>
          <w:szCs w:val="44"/>
        </w:rPr>
        <w:t>机</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6</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1</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5</w:t>
      </w:r>
    </w:p>
    <w:p>
      <w:pPr>
        <w:rPr>
          <w:bCs/>
          <w:color w:val="000000"/>
          <w:sz w:val="32"/>
        </w:rPr>
      </w:pPr>
    </w:p>
    <w:p>
      <w:pPr>
        <w:rPr>
          <w:color w:val="000000"/>
          <w:sz w:val="28"/>
        </w:rPr>
      </w:pPr>
      <w:r>
        <w:rPr>
          <w:bCs/>
          <w:color w:val="000000"/>
          <w:sz w:val="32"/>
        </w:rPr>
        <w:t>第六章  应提交的有关材料格式范例</w:t>
      </w:r>
      <w:r>
        <w:rPr>
          <w:color w:val="000000"/>
          <w:sz w:val="32"/>
        </w:rPr>
        <w:t>……………………28</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ascii="宋体" w:hAnsi="宋体" w:cs="宋体"/>
          <w:b/>
          <w:color w:val="000000"/>
          <w:sz w:val="24"/>
        </w:rPr>
        <w:t>冷等静压机</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-19（第二次）</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w:t>
      </w:r>
      <w:r>
        <w:rPr>
          <w:rFonts w:ascii="宋体" w:hAnsi="宋体" w:cs="宋体"/>
          <w:b/>
          <w:color w:val="000000"/>
          <w:sz w:val="24"/>
        </w:rPr>
        <w:t>冷等静压机</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 xml:space="preserve">项目概况 </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ascii="宋体" w:hAnsi="宋体" w:cs="宋体"/>
                <w:color w:val="000000"/>
                <w:kern w:val="0"/>
                <w:sz w:val="24"/>
              </w:rPr>
              <w:t>冷等静压机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hint="eastAsia" w:ascii="宋体" w:hAnsi="宋体" w:cs="宋体"/>
                <w:color w:val="000000" w:themeColor="text1"/>
                <w:kern w:val="0"/>
                <w:sz w:val="24"/>
                <w:highlight w:val="none"/>
              </w:rPr>
              <w:t>95</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2.落实政府采购政策需满足的资格要求：供应商为</w:t>
      </w:r>
      <w:r>
        <w:rPr>
          <w:rFonts w:hint="eastAsia" w:ascii="宋体" w:hAnsi="宋体" w:cs="宋体"/>
          <w:sz w:val="24"/>
          <w:szCs w:val="24"/>
        </w:rPr>
        <w:t>中</w:t>
      </w:r>
      <w:r>
        <w:rPr>
          <w:rFonts w:hint="eastAsia"/>
          <w:sz w:val="24"/>
        </w:rPr>
        <w:t>小微企业、监狱或戒毒企业、残疾人福利性单位</w:t>
      </w:r>
      <w:r>
        <w:rPr>
          <w:rFonts w:hint="eastAsia"/>
          <w:sz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000000" w:themeColor="text1"/>
          <w:sz w:val="24"/>
          <w:highlight w:val="none"/>
        </w:rPr>
      </w:pPr>
      <w:r>
        <w:rPr>
          <w:rFonts w:hint="eastAsia"/>
          <w:color w:val="000000" w:themeColor="text1"/>
          <w:sz w:val="24"/>
          <w:highlight w:val="none"/>
        </w:rPr>
        <w:t>1.时间：/至2022年</w:t>
      </w:r>
      <w:r>
        <w:rPr>
          <w:rFonts w:hint="eastAsia"/>
          <w:color w:val="000000" w:themeColor="text1"/>
          <w:sz w:val="24"/>
          <w:highlight w:val="none"/>
          <w:lang w:val="en-US" w:eastAsia="zh-CN"/>
        </w:rPr>
        <w:t>6</w:t>
      </w:r>
      <w:r>
        <w:rPr>
          <w:rFonts w:hint="eastAsia"/>
          <w:color w:val="000000" w:themeColor="text1"/>
          <w:sz w:val="24"/>
          <w:highlight w:val="none"/>
        </w:rPr>
        <w:t>月</w:t>
      </w:r>
      <w:r>
        <w:rPr>
          <w:rFonts w:hint="eastAsia"/>
          <w:color w:val="000000" w:themeColor="text1"/>
          <w:sz w:val="24"/>
          <w:highlight w:val="none"/>
          <w:lang w:val="en-US" w:eastAsia="zh-CN"/>
        </w:rPr>
        <w:t>24</w:t>
      </w:r>
      <w:r>
        <w:rPr>
          <w:rFonts w:hint="eastAsia"/>
          <w:color w:val="000000" w:themeColor="text1"/>
          <w:sz w:val="24"/>
          <w:highlight w:val="none"/>
        </w:rPr>
        <w:t>日，每天上午00:00至12:00，下午12:00至23:59（北京时间，线上获取法定节假日均可，线下获取文件法定节假日除外）</w:t>
      </w:r>
    </w:p>
    <w:p>
      <w:pPr>
        <w:tabs>
          <w:tab w:val="left" w:pos="2366"/>
        </w:tabs>
        <w:spacing w:line="360" w:lineRule="auto"/>
        <w:ind w:firstLine="480" w:firstLineChars="200"/>
        <w:rPr>
          <w:color w:val="000000" w:themeColor="text1"/>
          <w:sz w:val="24"/>
          <w:highlight w:val="none"/>
        </w:rPr>
      </w:pPr>
      <w:r>
        <w:rPr>
          <w:rFonts w:hint="eastAsia"/>
          <w:color w:val="000000" w:themeColor="text1"/>
          <w:sz w:val="24"/>
          <w:highlight w:val="none"/>
        </w:rPr>
        <w:t>2.地点（网址）：政采云平台https://www.zcygov.cn/ </w:t>
      </w:r>
    </w:p>
    <w:p>
      <w:pPr>
        <w:keepNext w:val="0"/>
        <w:keepLines w:val="0"/>
        <w:pageBreakBefore w:val="0"/>
        <w:tabs>
          <w:tab w:val="left" w:pos="2366"/>
        </w:tabs>
        <w:kinsoku/>
        <w:wordWrap/>
        <w:overflowPunct/>
        <w:topLinePunct w:val="0"/>
        <w:autoSpaceDE/>
        <w:autoSpaceDN/>
        <w:bidi w:val="0"/>
        <w:adjustRightInd/>
        <w:spacing w:line="360" w:lineRule="auto"/>
        <w:ind w:firstLine="480" w:firstLineChars="200"/>
        <w:textAlignment w:val="auto"/>
        <w:rPr>
          <w:color w:val="000000" w:themeColor="text1"/>
          <w:sz w:val="24"/>
          <w:highlight w:val="none"/>
        </w:rPr>
      </w:pPr>
      <w:r>
        <w:rPr>
          <w:rFonts w:hint="eastAsia"/>
          <w:color w:val="000000" w:themeColor="text1"/>
          <w:sz w:val="24"/>
          <w:highlight w:val="none"/>
        </w:rPr>
        <w:t>3.方式：供应商登录政采云平台https://www.zcygov.cn/在线申请获取采购文件（进入“项目采购”应用，在获取采购文件菜单中选择项目，申请获取采购文件）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overflowPunct/>
        <w:topLinePunct w:val="0"/>
        <w:autoSpaceDE/>
        <w:autoSpaceDN/>
        <w:bidi w:val="0"/>
        <w:adjustRightInd/>
        <w:spacing w:line="360" w:lineRule="auto"/>
        <w:ind w:firstLine="480" w:firstLineChars="200"/>
        <w:textAlignment w:val="auto"/>
        <w:rPr>
          <w:color w:val="000000" w:themeColor="text1"/>
          <w:sz w:val="24"/>
          <w:highlight w:val="none"/>
        </w:rPr>
      </w:pPr>
      <w:r>
        <w:rPr>
          <w:rFonts w:hint="eastAsia"/>
          <w:color w:val="000000" w:themeColor="text1"/>
          <w:sz w:val="24"/>
          <w:highlight w:val="none"/>
        </w:rPr>
        <w:t> 4.售价（元）：0 </w:t>
      </w:r>
    </w:p>
    <w:p>
      <w:pPr>
        <w:pStyle w:val="11"/>
        <w:keepNext w:val="0"/>
        <w:keepLines w:val="0"/>
        <w:pageBreakBefore w:val="0"/>
        <w:kinsoku/>
        <w:wordWrap/>
        <w:overflowPunct/>
        <w:topLinePunct w:val="0"/>
        <w:autoSpaceDE/>
        <w:autoSpaceDN/>
        <w:bidi w:val="0"/>
        <w:adjustRightInd/>
        <w:spacing w:before="0" w:beforeAutospacing="0" w:after="0" w:afterAutospacing="0" w:line="360" w:lineRule="auto"/>
        <w:ind w:firstLine="482" w:firstLineChars="200"/>
        <w:jc w:val="both"/>
        <w:textAlignment w:val="auto"/>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5"/>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000000" w:themeColor="text1"/>
          <w:highlight w:val="none"/>
        </w:rPr>
        <w:fldChar w:fldCharType="begin"/>
      </w:r>
      <w:r>
        <w:rPr>
          <w:color w:val="000000" w:themeColor="text1"/>
          <w:highlight w:val="none"/>
        </w:rPr>
        <w:instrText xml:space="preserve"> HYPERLINK "http://www.zjzfcg.gov.cn/bidClientTemplate/2019-05-27/12945.html" \t "_blank" \o "CA驱动和申领流程" </w:instrText>
      </w:r>
      <w:r>
        <w:rPr>
          <w:color w:val="000000" w:themeColor="text1"/>
          <w:highlight w:val="none"/>
        </w:rPr>
        <w:fldChar w:fldCharType="separate"/>
      </w:r>
      <w:r>
        <w:rPr>
          <w:rFonts w:hint="eastAsia" w:ascii="宋体" w:hAnsi="宋体" w:cs="宋体"/>
          <w:color w:val="000000" w:themeColor="text1"/>
          <w:sz w:val="24"/>
          <w:highlight w:val="none"/>
        </w:rPr>
        <w:t>CA驱动和申领流程</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”进行查阅。完成CA数字证书办理预计一周左右，建议各投标人抓紧时间办理。CA数字证书使用中出现问题可拨打技术支持电话咨询，联系方式：400-888-4636。</w:t>
      </w:r>
    </w:p>
    <w:p>
      <w:pPr>
        <w:pStyle w:val="11"/>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24</w:t>
      </w:r>
      <w:r>
        <w:rPr>
          <w:rFonts w:hint="eastAsia" w:cs="宋体"/>
          <w:b/>
          <w:bCs/>
          <w:kern w:val="2"/>
        </w:rPr>
        <w:t>日</w:t>
      </w:r>
      <w:r>
        <w:rPr>
          <w:rFonts w:hint="eastAsia" w:cs="宋体"/>
          <w:b/>
          <w:bCs/>
          <w:kern w:val="2"/>
          <w:lang w:val="en-US" w:eastAsia="zh-CN"/>
        </w:rPr>
        <w:t>9</w:t>
      </w:r>
      <w:r>
        <w:rPr>
          <w:rFonts w:hint="eastAsia" w:cs="宋体"/>
          <w:b/>
          <w:bCs/>
          <w:kern w:val="2"/>
        </w:rPr>
        <w:t>:</w:t>
      </w:r>
      <w:r>
        <w:rPr>
          <w:rFonts w:hint="eastAsia" w:cs="宋体"/>
          <w:b/>
          <w:bCs/>
          <w:kern w:val="2"/>
          <w:lang w:val="en-US" w:eastAsia="zh-CN"/>
        </w:rPr>
        <w:t>00</w:t>
      </w:r>
      <w:r>
        <w:rPr>
          <w:rFonts w:hint="eastAsia" w:cs="宋体"/>
          <w:b/>
          <w:bCs/>
          <w:kern w:val="2"/>
        </w:rPr>
        <w:t>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rPr>
      </w:pPr>
      <w:r>
        <w:rPr>
          <w:rFonts w:hint="eastAsia" w:ascii="宋体" w:hAnsi="宋体" w:cs="宋体"/>
          <w:b/>
          <w:color w:val="000000" w:themeColor="text1"/>
          <w:sz w:val="24"/>
        </w:rPr>
        <w:t>八、</w:t>
      </w:r>
      <w:r>
        <w:rPr>
          <w:rFonts w:hint="eastAsia" w:ascii="宋体" w:hAnsi="宋体" w:cs="宋体"/>
          <w:b/>
          <w:bCs/>
          <w:color w:val="000000" w:themeColor="text1"/>
          <w:kern w:val="0"/>
          <w:sz w:val="24"/>
        </w:rPr>
        <w:t>开标地点</w:t>
      </w:r>
    </w:p>
    <w:p>
      <w:pPr>
        <w:snapToGrid w:val="0"/>
        <w:spacing w:line="44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开标地点：衢州学院开标室（行政楼121室）。</w:t>
      </w:r>
    </w:p>
    <w:p>
      <w:pPr>
        <w:pStyle w:val="11"/>
        <w:spacing w:before="0" w:beforeAutospacing="0" w:after="0" w:afterAutospacing="0" w:line="440" w:lineRule="exact"/>
        <w:ind w:firstLine="482" w:firstLineChars="200"/>
        <w:jc w:val="both"/>
        <w:rPr>
          <w:rFonts w:cs="宋体"/>
          <w:b/>
          <w:color w:val="000000" w:themeColor="text1"/>
        </w:rPr>
      </w:pPr>
      <w:r>
        <w:rPr>
          <w:rFonts w:hint="eastAsia" w:cs="宋体"/>
          <w:b/>
          <w:color w:val="000000" w:themeColor="text1"/>
        </w:rPr>
        <w:t>九、投标保证金</w:t>
      </w:r>
    </w:p>
    <w:p>
      <w:pPr>
        <w:snapToGrid w:val="0"/>
        <w:spacing w:line="44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lang w:eastAsia="zh-CN"/>
        </w:rPr>
        <w:t>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rPr>
      </w:pPr>
      <w:r>
        <w:rPr>
          <w:rFonts w:hint="eastAsia" w:ascii="宋体" w:hAnsi="宋体" w:cs="宋体"/>
          <w:color w:val="000000" w:themeColor="text1"/>
          <w:kern w:val="0"/>
          <w:sz w:val="24"/>
        </w:rPr>
        <w:t>质疑答复联系人：郑老师；电话：0570-8015028，13567021518。   </w:t>
      </w:r>
    </w:p>
    <w:p>
      <w:pPr>
        <w:spacing w:line="440" w:lineRule="exact"/>
        <w:ind w:left="479" w:leftChars="228" w:firstLine="12" w:firstLineChars="5"/>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项目技术答疑联系人：冯老师；电话：18268962302</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w:t>
      </w:r>
    </w:p>
    <w:p>
      <w:pPr>
        <w:pStyle w:val="2"/>
        <w:ind w:left="2250" w:hanging="1200"/>
      </w:pPr>
    </w:p>
    <w:p>
      <w:pPr>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衢州学院采购中心</w:t>
      </w:r>
    </w:p>
    <w:p>
      <w:pPr>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2022年</w:t>
      </w:r>
      <w:r>
        <w:rPr>
          <w:rFonts w:hint="eastAsia" w:ascii="宋体" w:hAnsi="宋体" w:cs="宋体"/>
          <w:bCs/>
          <w:color w:val="000000" w:themeColor="text1"/>
          <w:sz w:val="24"/>
          <w:lang w:val="en-US" w:eastAsia="zh-CN"/>
        </w:rPr>
        <w:t>6</w:t>
      </w:r>
      <w:r>
        <w:rPr>
          <w:rFonts w:hint="eastAsia" w:ascii="宋体" w:hAnsi="宋体" w:cs="宋体"/>
          <w:bCs/>
          <w:color w:val="000000" w:themeColor="text1"/>
          <w:sz w:val="24"/>
        </w:rPr>
        <w:t>月</w:t>
      </w:r>
      <w:r>
        <w:rPr>
          <w:rFonts w:hint="eastAsia" w:ascii="宋体" w:hAnsi="宋体" w:cs="宋体"/>
          <w:bCs/>
          <w:color w:val="000000" w:themeColor="text1"/>
          <w:sz w:val="24"/>
          <w:lang w:val="en-US" w:eastAsia="zh-CN"/>
        </w:rPr>
        <w:t>2</w:t>
      </w:r>
      <w:r>
        <w:rPr>
          <w:rFonts w:hint="eastAsia" w:ascii="宋体" w:hAnsi="宋体" w:cs="宋体"/>
          <w:bCs/>
          <w:color w:val="000000" w:themeColor="text1"/>
          <w:sz w:val="24"/>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4"/>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向采购人缴纳履约保证金，履约保证金为中标金额的2.5%。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rPr>
        <w:t>120天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质保期1年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项目技术答疑联系人：冯老师；电话：18268962302。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2"/>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ascii="宋体" w:hAnsi="宋体" w:cs="宋体"/>
                <w:color w:val="000000"/>
                <w:kern w:val="0"/>
                <w:sz w:val="24"/>
              </w:rPr>
              <w:t>冷等静压机</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2"/>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rFonts w:hint="eastAsia" w:ascii="宋体" w:hAnsi="宋体"/>
                <w:color w:val="000000"/>
                <w:sz w:val="24"/>
              </w:rPr>
              <w:t>件 名</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p>
        </w:tc>
        <w:tc>
          <w:tcPr>
            <w:tcW w:w="5103" w:type="dxa"/>
            <w:vAlign w:val="center"/>
          </w:tcPr>
          <w:p>
            <w:pPr>
              <w:spacing w:line="360" w:lineRule="auto"/>
              <w:jc w:val="center"/>
              <w:rPr>
                <w:rFonts w:ascii="宋体" w:hAnsi="宋体"/>
                <w:color w:val="000000"/>
                <w:sz w:val="24"/>
              </w:rPr>
            </w:pPr>
            <w:r>
              <w:rPr>
                <w:rFonts w:ascii="宋体" w:hAnsi="宋体"/>
                <w:color w:val="000000"/>
                <w:sz w:val="24"/>
              </w:rPr>
              <w:t>冷等静压机</w:t>
            </w:r>
          </w:p>
        </w:tc>
        <w:tc>
          <w:tcPr>
            <w:tcW w:w="851" w:type="dxa"/>
            <w:vAlign w:val="center"/>
          </w:tcPr>
          <w:p>
            <w:pPr>
              <w:spacing w:line="360" w:lineRule="auto"/>
              <w:jc w:val="center"/>
              <w:rPr>
                <w:rFonts w:ascii="宋体" w:hAnsi="宋体" w:cs="宋体"/>
                <w:bCs/>
                <w:color w:val="000000"/>
                <w:kern w:val="0"/>
                <w:szCs w:val="21"/>
              </w:rPr>
            </w:pPr>
            <w:r>
              <w:rPr>
                <w:rFonts w:hint="eastAsia" w:ascii="宋体" w:hAnsi="宋体" w:cs="宋体"/>
                <w:color w:val="000000"/>
                <w:sz w:val="24"/>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p>
      <w:pPr>
        <w:spacing w:line="360" w:lineRule="auto"/>
        <w:ind w:left="482"/>
        <w:rPr>
          <w:rFonts w:ascii="宋体" w:hAnsi="宋体"/>
          <w:b/>
          <w:color w:val="000000"/>
          <w:sz w:val="24"/>
        </w:rPr>
      </w:pPr>
      <w:r>
        <w:rPr>
          <w:rFonts w:hint="eastAsia" w:ascii="宋体" w:hAnsi="宋体"/>
          <w:b/>
          <w:color w:val="000000"/>
          <w:sz w:val="24"/>
        </w:rPr>
        <w:t>（</w:t>
      </w:r>
      <w:r>
        <w:rPr>
          <w:rFonts w:hint="eastAsia" w:ascii="宋体" w:hAnsi="宋体"/>
          <w:b/>
          <w:color w:val="000000"/>
          <w:sz w:val="24"/>
          <w:lang w:eastAsia="zh-CN"/>
        </w:rPr>
        <w:t>一</w:t>
      </w:r>
      <w:r>
        <w:rPr>
          <w:rFonts w:hint="eastAsia" w:ascii="宋体" w:hAnsi="宋体"/>
          <w:b/>
          <w:color w:val="000000"/>
          <w:sz w:val="24"/>
        </w:rPr>
        <w:t>）设备结构</w:t>
      </w:r>
    </w:p>
    <w:p>
      <w:pPr>
        <w:spacing w:line="360" w:lineRule="auto"/>
        <w:ind w:firstLine="480" w:firstLineChars="200"/>
        <w:rPr>
          <w:rFonts w:ascii="宋体" w:hAnsi="宋体"/>
          <w:sz w:val="24"/>
        </w:rPr>
      </w:pPr>
      <w:r>
        <w:rPr>
          <w:rFonts w:hint="eastAsia" w:ascii="宋体" w:hAnsi="宋体"/>
          <w:sz w:val="24"/>
        </w:rPr>
        <w:t>整机</w:t>
      </w:r>
      <w:r>
        <w:rPr>
          <w:rFonts w:ascii="宋体" w:hAnsi="宋体"/>
          <w:sz w:val="24"/>
        </w:rPr>
        <w:t>由</w:t>
      </w:r>
      <w:r>
        <w:rPr>
          <w:rFonts w:hint="eastAsia" w:ascii="宋体" w:hAnsi="宋体"/>
          <w:sz w:val="24"/>
        </w:rPr>
        <w:t>主机系统、液压系统</w:t>
      </w:r>
      <w:r>
        <w:rPr>
          <w:rFonts w:ascii="宋体" w:hAnsi="宋体"/>
          <w:sz w:val="24"/>
        </w:rPr>
        <w:t>、电气控制系统组成。</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主机系统</w:t>
      </w:r>
      <w:r>
        <w:rPr>
          <w:rFonts w:ascii="宋体" w:hAnsi="宋体"/>
          <w:sz w:val="24"/>
        </w:rPr>
        <w:t>由压制工件的</w:t>
      </w:r>
      <w:r>
        <w:rPr>
          <w:rFonts w:hint="eastAsia" w:ascii="宋体" w:hAnsi="宋体"/>
          <w:sz w:val="24"/>
        </w:rPr>
        <w:t>高压腔系统、支撑高压腔的支架、承压机架机构、固定于机架上的上活塞提升机构、滑块推拉机构等</w:t>
      </w:r>
      <w:r>
        <w:rPr>
          <w:rFonts w:ascii="宋体" w:hAnsi="宋体"/>
          <w:sz w:val="24"/>
        </w:rPr>
        <w:t>组成。</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w:t>
      </w:r>
      <w:r>
        <w:rPr>
          <w:rFonts w:ascii="宋体" w:hAnsi="宋体"/>
          <w:sz w:val="24"/>
        </w:rPr>
        <w:t>液压系统由</w:t>
      </w:r>
      <w:r>
        <w:rPr>
          <w:rFonts w:hint="eastAsia" w:ascii="宋体" w:hAnsi="宋体"/>
          <w:sz w:val="24"/>
        </w:rPr>
        <w:t>主控液压系统、补油系统、补水系统、</w:t>
      </w:r>
      <w:r>
        <w:rPr>
          <w:rFonts w:ascii="宋体" w:hAnsi="宋体"/>
          <w:sz w:val="24"/>
        </w:rPr>
        <w:t>增压系统、卸压系统</w:t>
      </w:r>
      <w:r>
        <w:rPr>
          <w:rFonts w:hint="eastAsia" w:ascii="宋体" w:hAnsi="宋体"/>
          <w:sz w:val="24"/>
        </w:rPr>
        <w:t>、安全阀系统等</w:t>
      </w:r>
      <w:r>
        <w:rPr>
          <w:rFonts w:ascii="宋体" w:hAnsi="宋体"/>
          <w:sz w:val="24"/>
        </w:rPr>
        <w:t>组成。</w:t>
      </w:r>
      <w:r>
        <w:rPr>
          <w:rFonts w:hint="eastAsia" w:ascii="宋体" w:hAnsi="宋体"/>
          <w:sz w:val="24"/>
        </w:rPr>
        <w:t>其中安全阀系统由：爆破片+夹持器+高压管路等组成。</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电气控制系统由：</w:t>
      </w:r>
      <w:r>
        <w:rPr>
          <w:rFonts w:ascii="宋体" w:hAnsi="宋体"/>
          <w:sz w:val="24"/>
        </w:rPr>
        <w:t>可编程控制器</w:t>
      </w:r>
      <w:r>
        <w:rPr>
          <w:rFonts w:hint="eastAsia" w:ascii="宋体" w:hAnsi="宋体"/>
          <w:sz w:val="24"/>
        </w:rPr>
        <w:t>+触摸屏人机界面+AD转化模块+空开+交流接触器+电器柜等</w:t>
      </w:r>
      <w:r>
        <w:rPr>
          <w:rFonts w:ascii="宋体" w:hAnsi="宋体"/>
          <w:sz w:val="24"/>
        </w:rPr>
        <w:t>组成</w:t>
      </w:r>
      <w:r>
        <w:rPr>
          <w:rFonts w:hint="eastAsia" w:ascii="宋体" w:hAnsi="宋体"/>
          <w:sz w:val="24"/>
        </w:rPr>
        <w:t>。</w:t>
      </w:r>
    </w:p>
    <w:p>
      <w:pPr>
        <w:spacing w:line="360" w:lineRule="auto"/>
        <w:ind w:firstLine="482" w:firstLineChars="200"/>
        <w:rPr>
          <w:rFonts w:ascii="Arial" w:hAnsi="Arial"/>
          <w:sz w:val="24"/>
        </w:rPr>
      </w:pPr>
      <w:r>
        <w:rPr>
          <w:rFonts w:hint="eastAsia" w:ascii="宋体" w:hAnsi="宋体"/>
          <w:b/>
          <w:color w:val="000000"/>
          <w:sz w:val="24"/>
        </w:rPr>
        <w:t>（</w:t>
      </w:r>
      <w:r>
        <w:rPr>
          <w:rFonts w:hint="eastAsia" w:ascii="宋体" w:hAnsi="宋体"/>
          <w:b/>
          <w:color w:val="000000"/>
          <w:sz w:val="24"/>
          <w:lang w:eastAsia="zh-CN"/>
        </w:rPr>
        <w:t>二</w:t>
      </w:r>
      <w:r>
        <w:rPr>
          <w:rFonts w:hint="eastAsia" w:ascii="宋体" w:hAnsi="宋体"/>
          <w:b/>
          <w:color w:val="000000"/>
          <w:sz w:val="24"/>
        </w:rPr>
        <w:t>）基本功能要求</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w:t>
      </w:r>
      <w:r>
        <w:rPr>
          <w:rFonts w:ascii="宋体" w:hAnsi="宋体"/>
          <w:sz w:val="24"/>
        </w:rPr>
        <w:t>采用</w:t>
      </w:r>
      <w:r>
        <w:rPr>
          <w:rFonts w:hint="eastAsia" w:ascii="宋体" w:hAnsi="宋体"/>
          <w:sz w:val="24"/>
        </w:rPr>
        <w:t>变张力、配重式</w:t>
      </w:r>
      <w:r>
        <w:rPr>
          <w:rFonts w:ascii="宋体" w:hAnsi="宋体"/>
          <w:sz w:val="24"/>
        </w:rPr>
        <w:t>预应力钢丝缠绕式</w:t>
      </w:r>
      <w:r>
        <w:rPr>
          <w:rFonts w:hint="eastAsia" w:ascii="宋体" w:hAnsi="宋体"/>
          <w:sz w:val="24"/>
        </w:rPr>
        <w:t>高压腔体、</w:t>
      </w:r>
      <w:r>
        <w:rPr>
          <w:rFonts w:ascii="宋体" w:hAnsi="宋体"/>
          <w:sz w:val="24"/>
        </w:rPr>
        <w:t>承压</w:t>
      </w:r>
      <w:r>
        <w:rPr>
          <w:rFonts w:hint="eastAsia" w:ascii="宋体" w:hAnsi="宋体"/>
          <w:sz w:val="24"/>
        </w:rPr>
        <w:t>机</w:t>
      </w:r>
      <w:r>
        <w:rPr>
          <w:rFonts w:ascii="宋体" w:hAnsi="宋体"/>
          <w:sz w:val="24"/>
        </w:rPr>
        <w:t>架</w:t>
      </w:r>
      <w:r>
        <w:rPr>
          <w:rFonts w:hint="eastAsia" w:ascii="宋体" w:hAnsi="宋体"/>
          <w:sz w:val="24"/>
        </w:rPr>
        <w:t>、增压腔体的</w:t>
      </w:r>
      <w:r>
        <w:rPr>
          <w:rFonts w:ascii="宋体" w:hAnsi="宋体"/>
          <w:sz w:val="24"/>
        </w:rPr>
        <w:t>设计</w:t>
      </w:r>
      <w:r>
        <w:rPr>
          <w:rFonts w:hint="eastAsia" w:ascii="宋体" w:hAnsi="宋体"/>
          <w:sz w:val="24"/>
        </w:rPr>
        <w:t>方案</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w:t>
      </w:r>
      <w:r>
        <w:rPr>
          <w:rFonts w:ascii="宋体" w:hAnsi="宋体"/>
          <w:sz w:val="24"/>
        </w:rPr>
        <w:t>采用</w:t>
      </w:r>
      <w:r>
        <w:rPr>
          <w:rFonts w:hint="eastAsia" w:ascii="宋体" w:hAnsi="宋体"/>
          <w:sz w:val="24"/>
        </w:rPr>
        <w:t>主控液压</w:t>
      </w:r>
      <w:r>
        <w:rPr>
          <w:rFonts w:ascii="宋体" w:hAnsi="宋体"/>
          <w:sz w:val="24"/>
        </w:rPr>
        <w:t>系统、</w:t>
      </w:r>
      <w:r>
        <w:rPr>
          <w:rFonts w:hint="eastAsia" w:ascii="宋体" w:hAnsi="宋体"/>
          <w:sz w:val="24"/>
        </w:rPr>
        <w:t>补油</w:t>
      </w:r>
      <w:r>
        <w:rPr>
          <w:rFonts w:ascii="宋体" w:hAnsi="宋体"/>
          <w:sz w:val="24"/>
        </w:rPr>
        <w:t>系统</w:t>
      </w:r>
      <w:r>
        <w:rPr>
          <w:rFonts w:hint="eastAsia" w:ascii="宋体" w:hAnsi="宋体"/>
          <w:sz w:val="24"/>
        </w:rPr>
        <w:t>、补水系统3个相互</w:t>
      </w:r>
      <w:r>
        <w:rPr>
          <w:rFonts w:ascii="宋体" w:hAnsi="宋体"/>
          <w:sz w:val="24"/>
        </w:rPr>
        <w:t>独立的</w:t>
      </w:r>
      <w:r>
        <w:rPr>
          <w:rFonts w:hint="eastAsia" w:ascii="宋体" w:hAnsi="宋体"/>
          <w:sz w:val="24"/>
        </w:rPr>
        <w:t>液压系统</w:t>
      </w:r>
      <w:r>
        <w:rPr>
          <w:rFonts w:ascii="宋体" w:hAnsi="宋体"/>
          <w:sz w:val="24"/>
        </w:rPr>
        <w:t>设计</w:t>
      </w:r>
      <w:r>
        <w:rPr>
          <w:rFonts w:hint="eastAsia" w:ascii="宋体" w:hAnsi="宋体"/>
          <w:sz w:val="24"/>
        </w:rPr>
        <w:t xml:space="preserve"> 。高压腔既可以用油，也可以直接改用水；高压腔介质和控制油介质通过增压器的油水隔离系统隔离，</w:t>
      </w:r>
      <w:r>
        <w:rPr>
          <w:rFonts w:ascii="宋体" w:hAnsi="宋体"/>
          <w:sz w:val="24"/>
        </w:rPr>
        <w:t>防止相互污染</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w:t>
      </w:r>
      <w:r>
        <w:rPr>
          <w:rFonts w:ascii="宋体" w:hAnsi="宋体"/>
          <w:sz w:val="24"/>
        </w:rPr>
        <w:t>采用</w:t>
      </w:r>
      <w:r>
        <w:rPr>
          <w:rFonts w:hint="eastAsia" w:ascii="宋体" w:hAnsi="宋体"/>
          <w:sz w:val="24"/>
        </w:rPr>
        <w:t>2个独立的高压增压器往复</w:t>
      </w:r>
      <w:r>
        <w:rPr>
          <w:rFonts w:ascii="宋体" w:hAnsi="宋体"/>
          <w:sz w:val="24"/>
        </w:rPr>
        <w:t>增压</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高压腔上活塞安装在机架的上梁上，机架移动到高压腔中心线位置时机械限位；</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en-US" w:eastAsia="zh-CN"/>
        </w:rPr>
        <w:t>.</w:t>
      </w:r>
      <w:r>
        <w:rPr>
          <w:rFonts w:ascii="宋体" w:hAnsi="宋体"/>
          <w:sz w:val="24"/>
        </w:rPr>
        <w:t>采用</w:t>
      </w:r>
      <w:r>
        <w:rPr>
          <w:rFonts w:hint="eastAsia" w:ascii="宋体" w:hAnsi="宋体"/>
          <w:sz w:val="24"/>
        </w:rPr>
        <w:t>PLC+触摸屏人机界面</w:t>
      </w:r>
      <w:r>
        <w:rPr>
          <w:rFonts w:ascii="宋体" w:hAnsi="宋体"/>
          <w:sz w:val="24"/>
        </w:rPr>
        <w:t>程序控制</w:t>
      </w:r>
      <w:r>
        <w:rPr>
          <w:rFonts w:hint="eastAsia" w:ascii="宋体" w:hAnsi="宋体"/>
          <w:sz w:val="24"/>
        </w:rPr>
        <w:t>，可对压力、时间、工艺流程等进行自动控制和设定。 可实现阶梯式多级自动升压，保压、自动卸压功能；</w:t>
      </w:r>
    </w:p>
    <w:p>
      <w:pPr>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泄压采用慢速泄压+快速泄压模块化设计制作。泄压速度可任意调节，既可实现阶梯式多级分段慢泄压功能，也可采用快速泄压。</w:t>
      </w:r>
    </w:p>
    <w:p>
      <w:pPr>
        <w:spacing w:line="360" w:lineRule="auto"/>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w:t>
      </w:r>
      <w:r>
        <w:rPr>
          <w:rFonts w:hint="eastAsia" w:ascii="宋体" w:hAnsi="宋体"/>
          <w:sz w:val="24"/>
        </w:rPr>
        <w:t>有多重安全防护措施和故障报警提示；</w:t>
      </w:r>
    </w:p>
    <w:p>
      <w:pPr>
        <w:spacing w:line="360" w:lineRule="auto"/>
        <w:ind w:firstLine="480" w:firstLineChars="200"/>
        <w:rPr>
          <w:rFonts w:ascii="宋体" w:hAnsi="宋体"/>
          <w:sz w:val="24"/>
        </w:rPr>
      </w:pPr>
      <w:r>
        <w:rPr>
          <w:rFonts w:hint="eastAsia" w:ascii="宋体" w:hAnsi="宋体"/>
          <w:sz w:val="24"/>
        </w:rPr>
        <w:t>8</w:t>
      </w:r>
      <w:r>
        <w:rPr>
          <w:rFonts w:hint="eastAsia" w:ascii="宋体" w:hAnsi="宋体"/>
          <w:sz w:val="24"/>
          <w:lang w:val="en-US" w:eastAsia="zh-CN"/>
        </w:rPr>
        <w:t>.</w:t>
      </w:r>
      <w:r>
        <w:rPr>
          <w:rFonts w:ascii="宋体" w:hAnsi="宋体"/>
          <w:sz w:val="24"/>
        </w:rPr>
        <w:t xml:space="preserve">按照 JB/T7348-2005 和 ISO9001-2000 标准要求设计制造。 </w:t>
      </w:r>
    </w:p>
    <w:p>
      <w:pPr>
        <w:spacing w:line="360" w:lineRule="auto"/>
        <w:ind w:firstLine="482" w:firstLineChars="200"/>
        <w:rPr>
          <w:rFonts w:ascii="宋体" w:hAnsi="宋体"/>
          <w:b/>
          <w:color w:val="000000"/>
          <w:sz w:val="24"/>
        </w:rPr>
      </w:pPr>
      <w:r>
        <w:rPr>
          <w:rFonts w:hint="eastAsia" w:ascii="宋体" w:hAnsi="宋体"/>
          <w:b/>
          <w:color w:val="000000"/>
          <w:sz w:val="24"/>
        </w:rPr>
        <w:t>（</w:t>
      </w:r>
      <w:r>
        <w:rPr>
          <w:rFonts w:hint="eastAsia" w:ascii="宋体" w:hAnsi="宋体"/>
          <w:b/>
          <w:color w:val="000000"/>
          <w:sz w:val="24"/>
          <w:lang w:eastAsia="zh-CN"/>
        </w:rPr>
        <w:t>三</w:t>
      </w:r>
      <w:r>
        <w:rPr>
          <w:rFonts w:hint="eastAsia" w:ascii="宋体" w:hAnsi="宋体"/>
          <w:b/>
          <w:color w:val="000000"/>
          <w:sz w:val="24"/>
        </w:rPr>
        <w:t>）主要技术规格参数</w:t>
      </w:r>
    </w:p>
    <w:p>
      <w:pPr>
        <w:pStyle w:val="2"/>
        <w:ind w:left="545" w:leftChars="22" w:hanging="499" w:hangingChars="208"/>
      </w:pPr>
    </w:p>
    <w:tbl>
      <w:tblPr>
        <w:tblStyle w:val="12"/>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195"/>
        <w:gridCol w:w="447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99" w:type="dxa"/>
            <w:vAlign w:val="center"/>
          </w:tcPr>
          <w:p>
            <w:pPr>
              <w:contextualSpacing/>
              <w:jc w:val="center"/>
              <w:rPr>
                <w:b/>
                <w:color w:val="000000"/>
                <w:szCs w:val="21"/>
              </w:rPr>
            </w:pPr>
            <w:r>
              <w:rPr>
                <w:b/>
                <w:bCs/>
                <w:color w:val="000000"/>
                <w:szCs w:val="21"/>
              </w:rPr>
              <w:t>序号</w:t>
            </w:r>
          </w:p>
        </w:tc>
        <w:tc>
          <w:tcPr>
            <w:tcW w:w="2195" w:type="dxa"/>
            <w:vAlign w:val="center"/>
          </w:tcPr>
          <w:p>
            <w:pPr>
              <w:contextualSpacing/>
              <w:jc w:val="left"/>
              <w:rPr>
                <w:b/>
                <w:bCs/>
                <w:color w:val="000000"/>
                <w:szCs w:val="21"/>
              </w:rPr>
            </w:pPr>
            <w:r>
              <w:rPr>
                <w:b/>
                <w:bCs/>
                <w:color w:val="000000"/>
                <w:szCs w:val="21"/>
              </w:rPr>
              <w:t>名称</w:t>
            </w:r>
          </w:p>
        </w:tc>
        <w:tc>
          <w:tcPr>
            <w:tcW w:w="4470" w:type="dxa"/>
            <w:vAlign w:val="center"/>
          </w:tcPr>
          <w:p>
            <w:pPr>
              <w:contextualSpacing/>
              <w:jc w:val="left"/>
              <w:rPr>
                <w:b/>
                <w:bCs/>
                <w:color w:val="000000"/>
                <w:szCs w:val="21"/>
              </w:rPr>
            </w:pPr>
            <w:r>
              <w:rPr>
                <w:b/>
                <w:bCs/>
                <w:color w:val="000000"/>
                <w:szCs w:val="21"/>
              </w:rPr>
              <w:t>规格型号或技术参数</w:t>
            </w:r>
          </w:p>
        </w:tc>
        <w:tc>
          <w:tcPr>
            <w:tcW w:w="1000" w:type="dxa"/>
            <w:vAlign w:val="center"/>
          </w:tcPr>
          <w:p>
            <w:pPr>
              <w:contextualSpacing/>
              <w:jc w:val="left"/>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w:t>
            </w:r>
          </w:p>
        </w:tc>
        <w:tc>
          <w:tcPr>
            <w:tcW w:w="2195" w:type="dxa"/>
            <w:shd w:val="clear" w:color="auto" w:fill="FFFFFF"/>
            <w:vAlign w:val="center"/>
          </w:tcPr>
          <w:p>
            <w:pPr>
              <w:contextualSpacing/>
              <w:jc w:val="left"/>
              <w:rPr>
                <w:rFonts w:ascii="宋体" w:hAnsi="宋体"/>
                <w:b/>
                <w:szCs w:val="21"/>
              </w:rPr>
            </w:pPr>
            <w:r>
              <w:rPr>
                <w:b/>
                <w:color w:val="000000"/>
                <w:sz w:val="24"/>
              </w:rPr>
              <w:t>▲</w:t>
            </w:r>
            <w:r>
              <w:rPr>
                <w:rFonts w:ascii="宋体" w:hAnsi="宋体"/>
                <w:b/>
                <w:szCs w:val="21"/>
              </w:rPr>
              <w:t>最高工作压力</w:t>
            </w:r>
          </w:p>
        </w:tc>
        <w:tc>
          <w:tcPr>
            <w:tcW w:w="4470" w:type="dxa"/>
            <w:shd w:val="clear" w:color="auto" w:fill="FFFFFF"/>
            <w:vAlign w:val="center"/>
          </w:tcPr>
          <w:p>
            <w:pPr>
              <w:pStyle w:val="15"/>
              <w:ind w:firstLine="0" w:firstLineChars="0"/>
              <w:contextualSpacing/>
              <w:jc w:val="left"/>
              <w:rPr>
                <w:rFonts w:ascii="宋体" w:hAnsi="宋体"/>
                <w:b/>
                <w:szCs w:val="21"/>
              </w:rPr>
            </w:pPr>
            <w:r>
              <w:rPr>
                <w:rFonts w:hint="eastAsia" w:ascii="宋体" w:hAnsi="宋体"/>
                <w:b/>
                <w:szCs w:val="21"/>
              </w:rPr>
              <w:t>≥20</w:t>
            </w:r>
            <w:r>
              <w:rPr>
                <w:rFonts w:ascii="宋体" w:hAnsi="宋体"/>
                <w:b/>
                <w:szCs w:val="21"/>
              </w:rPr>
              <w:t>0MPa</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2</w:t>
            </w:r>
          </w:p>
        </w:tc>
        <w:tc>
          <w:tcPr>
            <w:tcW w:w="2195" w:type="dxa"/>
            <w:shd w:val="clear" w:color="auto" w:fill="FFFFFF"/>
            <w:vAlign w:val="center"/>
          </w:tcPr>
          <w:p>
            <w:pPr>
              <w:contextualSpacing/>
              <w:jc w:val="left"/>
              <w:rPr>
                <w:rFonts w:ascii="宋体" w:hAnsi="宋体"/>
                <w:b/>
                <w:szCs w:val="21"/>
              </w:rPr>
            </w:pPr>
            <w:r>
              <w:rPr>
                <w:b/>
                <w:color w:val="000000"/>
                <w:sz w:val="24"/>
              </w:rPr>
              <w:t>▲</w:t>
            </w:r>
            <w:r>
              <w:rPr>
                <w:rFonts w:hint="eastAsia" w:ascii="宋体" w:hAnsi="宋体"/>
                <w:b/>
                <w:szCs w:val="21"/>
              </w:rPr>
              <w:t>高压腔</w:t>
            </w:r>
            <w:r>
              <w:rPr>
                <w:rFonts w:ascii="宋体" w:hAnsi="宋体"/>
                <w:b/>
                <w:szCs w:val="21"/>
              </w:rPr>
              <w:t>有效内径</w:t>
            </w:r>
          </w:p>
        </w:tc>
        <w:tc>
          <w:tcPr>
            <w:tcW w:w="4470" w:type="dxa"/>
            <w:shd w:val="clear" w:color="auto" w:fill="FFFFFF"/>
            <w:vAlign w:val="center"/>
          </w:tcPr>
          <w:p>
            <w:pPr>
              <w:pStyle w:val="15"/>
              <w:ind w:firstLine="0" w:firstLineChars="0"/>
              <w:contextualSpacing/>
              <w:jc w:val="left"/>
              <w:rPr>
                <w:rFonts w:ascii="宋体" w:hAnsi="宋体"/>
                <w:b/>
                <w:szCs w:val="21"/>
              </w:rPr>
            </w:pPr>
            <w:r>
              <w:rPr>
                <w:rFonts w:hint="eastAsia" w:ascii="宋体" w:hAnsi="宋体"/>
                <w:b/>
                <w:szCs w:val="21"/>
              </w:rPr>
              <w:t>≥</w:t>
            </w:r>
            <w:r>
              <w:rPr>
                <w:rFonts w:ascii="宋体" w:hAnsi="宋体"/>
                <w:b/>
                <w:szCs w:val="21"/>
              </w:rPr>
              <w:t>Ø</w:t>
            </w:r>
            <w:r>
              <w:rPr>
                <w:rFonts w:hint="eastAsia" w:ascii="宋体" w:hAnsi="宋体"/>
                <w:b/>
                <w:szCs w:val="21"/>
              </w:rPr>
              <w:t>65</w:t>
            </w:r>
            <w:r>
              <w:rPr>
                <w:rFonts w:ascii="宋体" w:hAnsi="宋体"/>
                <w:b/>
                <w:szCs w:val="21"/>
              </w:rPr>
              <w:t>0mm</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3</w:t>
            </w:r>
          </w:p>
        </w:tc>
        <w:tc>
          <w:tcPr>
            <w:tcW w:w="2195" w:type="dxa"/>
            <w:shd w:val="clear" w:color="auto" w:fill="FFFFFF"/>
            <w:vAlign w:val="center"/>
          </w:tcPr>
          <w:p>
            <w:pPr>
              <w:contextualSpacing/>
              <w:jc w:val="left"/>
              <w:rPr>
                <w:rFonts w:ascii="宋体" w:hAnsi="宋体"/>
                <w:b/>
                <w:szCs w:val="21"/>
              </w:rPr>
            </w:pPr>
            <w:r>
              <w:rPr>
                <w:b/>
                <w:color w:val="000000"/>
                <w:sz w:val="24"/>
              </w:rPr>
              <w:t>▲</w:t>
            </w:r>
            <w:r>
              <w:rPr>
                <w:rFonts w:hint="eastAsia" w:ascii="宋体" w:hAnsi="宋体"/>
                <w:b/>
                <w:szCs w:val="21"/>
              </w:rPr>
              <w:t>高压腔</w:t>
            </w:r>
            <w:r>
              <w:rPr>
                <w:rFonts w:ascii="宋体" w:hAnsi="宋体"/>
                <w:b/>
                <w:szCs w:val="21"/>
              </w:rPr>
              <w:t>有效高度</w:t>
            </w:r>
          </w:p>
        </w:tc>
        <w:tc>
          <w:tcPr>
            <w:tcW w:w="4470" w:type="dxa"/>
            <w:shd w:val="clear" w:color="auto" w:fill="FFFFFF"/>
            <w:vAlign w:val="center"/>
          </w:tcPr>
          <w:p>
            <w:pPr>
              <w:pStyle w:val="15"/>
              <w:ind w:firstLine="0" w:firstLineChars="0"/>
              <w:contextualSpacing/>
              <w:jc w:val="left"/>
              <w:rPr>
                <w:rFonts w:ascii="宋体" w:hAnsi="宋体"/>
                <w:b/>
                <w:szCs w:val="21"/>
              </w:rPr>
            </w:pPr>
            <w:r>
              <w:rPr>
                <w:rFonts w:hint="eastAsia" w:ascii="宋体" w:hAnsi="宋体"/>
                <w:b/>
                <w:szCs w:val="21"/>
              </w:rPr>
              <w:t>≥20</w:t>
            </w:r>
            <w:r>
              <w:rPr>
                <w:rFonts w:ascii="宋体" w:hAnsi="宋体"/>
                <w:b/>
                <w:szCs w:val="21"/>
              </w:rPr>
              <w:t>00mm</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4</w:t>
            </w:r>
          </w:p>
        </w:tc>
        <w:tc>
          <w:tcPr>
            <w:tcW w:w="2195" w:type="dxa"/>
            <w:shd w:val="clear" w:color="auto" w:fill="FFFFFF"/>
            <w:vAlign w:val="center"/>
          </w:tcPr>
          <w:p>
            <w:pPr>
              <w:contextualSpacing/>
              <w:jc w:val="left"/>
              <w:rPr>
                <w:rFonts w:ascii="宋体" w:hAnsi="宋体"/>
                <w:szCs w:val="21"/>
              </w:rPr>
            </w:pPr>
            <w:r>
              <w:rPr>
                <w:rFonts w:ascii="宋体" w:hAnsi="宋体"/>
                <w:szCs w:val="21"/>
              </w:rPr>
              <w:t>有效装料内径</w:t>
            </w:r>
          </w:p>
        </w:tc>
        <w:tc>
          <w:tcPr>
            <w:tcW w:w="4470" w:type="dxa"/>
            <w:shd w:val="clear" w:color="auto" w:fill="FFFFFF"/>
            <w:vAlign w:val="center"/>
          </w:tcPr>
          <w:p>
            <w:pPr>
              <w:pStyle w:val="15"/>
              <w:ind w:firstLine="0" w:firstLineChars="0"/>
              <w:contextualSpacing/>
              <w:jc w:val="left"/>
              <w:rPr>
                <w:rFonts w:ascii="宋体" w:hAnsi="宋体"/>
                <w:szCs w:val="21"/>
              </w:rPr>
            </w:pPr>
            <w:r>
              <w:rPr>
                <w:rFonts w:hint="eastAsia" w:ascii="宋体" w:hAnsi="宋体"/>
                <w:szCs w:val="21"/>
              </w:rPr>
              <w:t>≥</w:t>
            </w:r>
            <w:r>
              <w:rPr>
                <w:rFonts w:ascii="宋体" w:hAnsi="宋体"/>
                <w:szCs w:val="21"/>
              </w:rPr>
              <w:t>Ø</w:t>
            </w:r>
            <w:r>
              <w:rPr>
                <w:rFonts w:hint="eastAsia" w:ascii="宋体" w:hAnsi="宋体"/>
                <w:szCs w:val="21"/>
              </w:rPr>
              <w:t>65</w:t>
            </w:r>
            <w:r>
              <w:rPr>
                <w:rFonts w:ascii="宋体" w:hAnsi="宋体"/>
                <w:szCs w:val="21"/>
              </w:rPr>
              <w:t>0mm</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5</w:t>
            </w:r>
          </w:p>
        </w:tc>
        <w:tc>
          <w:tcPr>
            <w:tcW w:w="2195" w:type="dxa"/>
            <w:shd w:val="clear" w:color="auto" w:fill="FFFFFF"/>
            <w:vAlign w:val="center"/>
          </w:tcPr>
          <w:p>
            <w:pPr>
              <w:contextualSpacing/>
              <w:jc w:val="left"/>
              <w:rPr>
                <w:rFonts w:ascii="宋体" w:hAnsi="宋体"/>
                <w:szCs w:val="21"/>
              </w:rPr>
            </w:pPr>
            <w:r>
              <w:rPr>
                <w:rFonts w:ascii="宋体" w:hAnsi="宋体"/>
                <w:szCs w:val="21"/>
              </w:rPr>
              <w:t>有效装料高度</w:t>
            </w:r>
          </w:p>
        </w:tc>
        <w:tc>
          <w:tcPr>
            <w:tcW w:w="4470" w:type="dxa"/>
            <w:shd w:val="clear" w:color="auto" w:fill="FFFFFF"/>
            <w:vAlign w:val="center"/>
          </w:tcPr>
          <w:p>
            <w:pPr>
              <w:pStyle w:val="15"/>
              <w:ind w:firstLine="0" w:firstLineChars="0"/>
              <w:contextualSpacing/>
              <w:jc w:val="left"/>
              <w:rPr>
                <w:rFonts w:ascii="宋体" w:hAnsi="宋体"/>
                <w:szCs w:val="21"/>
              </w:rPr>
            </w:pPr>
            <w:r>
              <w:rPr>
                <w:rFonts w:hint="eastAsia" w:ascii="宋体" w:hAnsi="宋体"/>
                <w:szCs w:val="21"/>
              </w:rPr>
              <w:t>≥200</w:t>
            </w:r>
            <w:r>
              <w:rPr>
                <w:rFonts w:ascii="宋体" w:hAnsi="宋体"/>
                <w:szCs w:val="21"/>
              </w:rPr>
              <w:t>0mm</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6</w:t>
            </w:r>
          </w:p>
        </w:tc>
        <w:tc>
          <w:tcPr>
            <w:tcW w:w="2195" w:type="dxa"/>
            <w:shd w:val="clear" w:color="auto" w:fill="FFFFFF"/>
            <w:vAlign w:val="center"/>
          </w:tcPr>
          <w:p>
            <w:pPr>
              <w:contextualSpacing/>
              <w:jc w:val="left"/>
              <w:rPr>
                <w:rFonts w:ascii="宋体" w:hAnsi="宋体"/>
                <w:szCs w:val="21"/>
              </w:rPr>
            </w:pPr>
            <w:r>
              <w:rPr>
                <w:rFonts w:hint="eastAsia" w:ascii="宋体" w:hAnsi="宋体"/>
                <w:szCs w:val="21"/>
              </w:rPr>
              <w:t>高压腔材料</w:t>
            </w:r>
          </w:p>
        </w:tc>
        <w:tc>
          <w:tcPr>
            <w:tcW w:w="4470" w:type="dxa"/>
            <w:shd w:val="clear" w:color="auto" w:fill="FFFFFF"/>
            <w:vAlign w:val="center"/>
          </w:tcPr>
          <w:p>
            <w:pPr>
              <w:pStyle w:val="15"/>
              <w:ind w:firstLine="0" w:firstLineChars="0"/>
              <w:contextualSpacing/>
              <w:jc w:val="left"/>
              <w:rPr>
                <w:rFonts w:ascii="宋体" w:hAnsi="宋体"/>
                <w:szCs w:val="21"/>
              </w:rPr>
            </w:pPr>
            <w:r>
              <w:rPr>
                <w:rFonts w:hint="eastAsia" w:ascii="宋体" w:hAnsi="宋体"/>
                <w:szCs w:val="21"/>
              </w:rPr>
              <w:t>34crni3mov锻件</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7</w:t>
            </w:r>
          </w:p>
        </w:tc>
        <w:tc>
          <w:tcPr>
            <w:tcW w:w="2195" w:type="dxa"/>
            <w:shd w:val="clear" w:color="auto" w:fill="FFFFFF"/>
            <w:vAlign w:val="center"/>
          </w:tcPr>
          <w:p>
            <w:pPr>
              <w:contextualSpacing/>
              <w:jc w:val="left"/>
              <w:rPr>
                <w:rFonts w:ascii="宋体" w:hAnsi="宋体"/>
                <w:szCs w:val="21"/>
              </w:rPr>
            </w:pPr>
            <w:r>
              <w:rPr>
                <w:rFonts w:hint="eastAsia" w:ascii="宋体" w:hAnsi="宋体"/>
                <w:szCs w:val="21"/>
              </w:rPr>
              <w:t>上下梁立柱材料</w:t>
            </w:r>
          </w:p>
        </w:tc>
        <w:tc>
          <w:tcPr>
            <w:tcW w:w="4470" w:type="dxa"/>
            <w:shd w:val="clear" w:color="auto" w:fill="FFFFFF"/>
            <w:vAlign w:val="center"/>
          </w:tcPr>
          <w:p>
            <w:pPr>
              <w:pStyle w:val="15"/>
              <w:ind w:firstLine="0" w:firstLineChars="0"/>
              <w:contextualSpacing/>
              <w:jc w:val="left"/>
              <w:rPr>
                <w:rFonts w:ascii="宋体" w:hAnsi="宋体"/>
                <w:szCs w:val="21"/>
              </w:rPr>
            </w:pPr>
            <w:r>
              <w:rPr>
                <w:rFonts w:hint="eastAsia" w:ascii="宋体" w:hAnsi="宋体"/>
                <w:szCs w:val="21"/>
              </w:rPr>
              <w:t>35crmo锻件调质</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8</w:t>
            </w:r>
          </w:p>
        </w:tc>
        <w:tc>
          <w:tcPr>
            <w:tcW w:w="2195" w:type="dxa"/>
            <w:shd w:val="clear" w:color="auto" w:fill="FFFFFF"/>
            <w:vAlign w:val="center"/>
          </w:tcPr>
          <w:p>
            <w:pPr>
              <w:contextualSpacing/>
              <w:jc w:val="left"/>
              <w:rPr>
                <w:rFonts w:ascii="宋体" w:hAnsi="宋体"/>
                <w:szCs w:val="21"/>
              </w:rPr>
            </w:pPr>
            <w:r>
              <w:rPr>
                <w:rFonts w:hint="eastAsia" w:ascii="宋体" w:hAnsi="宋体"/>
                <w:szCs w:val="21"/>
              </w:rPr>
              <w:t>高压腔工作液</w:t>
            </w:r>
            <w:r>
              <w:rPr>
                <w:rFonts w:ascii="宋体" w:hAnsi="宋体"/>
                <w:szCs w:val="21"/>
              </w:rPr>
              <w:t>介质</w:t>
            </w:r>
          </w:p>
        </w:tc>
        <w:tc>
          <w:tcPr>
            <w:tcW w:w="4470" w:type="dxa"/>
            <w:shd w:val="clear" w:color="auto" w:fill="FFFFFF"/>
            <w:vAlign w:val="center"/>
          </w:tcPr>
          <w:p>
            <w:pPr>
              <w:pStyle w:val="15"/>
              <w:ind w:firstLine="0" w:firstLineChars="0"/>
              <w:contextualSpacing/>
              <w:jc w:val="left"/>
              <w:rPr>
                <w:rFonts w:ascii="宋体" w:hAnsi="宋体"/>
                <w:szCs w:val="21"/>
              </w:rPr>
            </w:pPr>
            <w:r>
              <w:rPr>
                <w:rFonts w:ascii="宋体" w:hAnsi="宋体"/>
                <w:szCs w:val="21"/>
              </w:rPr>
              <w:t>L-HM</w:t>
            </w:r>
            <w:r>
              <w:rPr>
                <w:rFonts w:hint="eastAsia" w:ascii="宋体" w:hAnsi="宋体"/>
                <w:szCs w:val="21"/>
              </w:rPr>
              <w:t>32</w:t>
            </w:r>
            <w:r>
              <w:rPr>
                <w:rFonts w:ascii="宋体" w:hAnsi="宋体"/>
                <w:szCs w:val="21"/>
              </w:rPr>
              <w:t xml:space="preserve"> 抗磨液压</w:t>
            </w:r>
            <w:r>
              <w:rPr>
                <w:rFonts w:hint="eastAsia" w:ascii="宋体" w:hAnsi="宋体"/>
                <w:szCs w:val="21"/>
              </w:rPr>
              <w:t xml:space="preserve">油  或 </w:t>
            </w:r>
            <w:r>
              <w:rPr>
                <w:rFonts w:ascii="宋体" w:hAnsi="宋体"/>
                <w:szCs w:val="21"/>
              </w:rPr>
              <w:t>水+ 乳化液</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9</w:t>
            </w:r>
          </w:p>
        </w:tc>
        <w:tc>
          <w:tcPr>
            <w:tcW w:w="2195" w:type="dxa"/>
            <w:shd w:val="clear" w:color="auto" w:fill="FFFFFF"/>
            <w:vAlign w:val="center"/>
          </w:tcPr>
          <w:p>
            <w:pPr>
              <w:contextualSpacing/>
              <w:jc w:val="left"/>
              <w:rPr>
                <w:rFonts w:ascii="宋体" w:hAnsi="宋体"/>
                <w:szCs w:val="21"/>
              </w:rPr>
            </w:pPr>
            <w:r>
              <w:rPr>
                <w:rFonts w:ascii="宋体" w:hAnsi="宋体"/>
                <w:szCs w:val="21"/>
              </w:rPr>
              <w:t>加压</w:t>
            </w:r>
            <w:r>
              <w:rPr>
                <w:rFonts w:hint="eastAsia" w:ascii="宋体" w:hAnsi="宋体"/>
                <w:szCs w:val="21"/>
              </w:rPr>
              <w:t>、控制</w:t>
            </w:r>
            <w:r>
              <w:rPr>
                <w:rFonts w:ascii="宋体" w:hAnsi="宋体"/>
                <w:szCs w:val="21"/>
              </w:rPr>
              <w:t>介质</w:t>
            </w:r>
          </w:p>
        </w:tc>
        <w:tc>
          <w:tcPr>
            <w:tcW w:w="4470" w:type="dxa"/>
            <w:shd w:val="clear" w:color="auto" w:fill="FFFFFF"/>
            <w:vAlign w:val="center"/>
          </w:tcPr>
          <w:p>
            <w:pPr>
              <w:pStyle w:val="15"/>
              <w:ind w:firstLine="0" w:firstLineChars="0"/>
              <w:contextualSpacing/>
              <w:jc w:val="left"/>
              <w:rPr>
                <w:rFonts w:ascii="宋体" w:hAnsi="宋体"/>
                <w:szCs w:val="21"/>
              </w:rPr>
            </w:pPr>
            <w:r>
              <w:rPr>
                <w:rFonts w:ascii="宋体" w:hAnsi="宋体"/>
                <w:szCs w:val="21"/>
              </w:rPr>
              <w:t>L-HM</w:t>
            </w:r>
            <w:r>
              <w:rPr>
                <w:rFonts w:hint="eastAsia" w:ascii="宋体" w:hAnsi="宋体"/>
                <w:szCs w:val="21"/>
              </w:rPr>
              <w:t>46</w:t>
            </w:r>
            <w:r>
              <w:rPr>
                <w:rFonts w:ascii="宋体" w:hAnsi="宋体"/>
                <w:szCs w:val="21"/>
              </w:rPr>
              <w:t xml:space="preserve"> 抗磨液压油</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10</w:t>
            </w:r>
          </w:p>
        </w:tc>
        <w:tc>
          <w:tcPr>
            <w:tcW w:w="2195" w:type="dxa"/>
            <w:shd w:val="clear" w:color="auto" w:fill="FFFFFF"/>
            <w:vAlign w:val="center"/>
          </w:tcPr>
          <w:p>
            <w:pPr>
              <w:contextualSpacing/>
              <w:jc w:val="left"/>
              <w:rPr>
                <w:rFonts w:ascii="宋体" w:hAnsi="宋体"/>
                <w:szCs w:val="21"/>
              </w:rPr>
            </w:pPr>
            <w:r>
              <w:rPr>
                <w:rFonts w:hint="eastAsia" w:ascii="宋体" w:hAnsi="宋体"/>
                <w:szCs w:val="21"/>
              </w:rPr>
              <w:t>无物料</w:t>
            </w:r>
            <w:r>
              <w:rPr>
                <w:rFonts w:ascii="宋体" w:hAnsi="宋体"/>
                <w:szCs w:val="21"/>
              </w:rPr>
              <w:t>最快</w:t>
            </w:r>
            <w:r>
              <w:rPr>
                <w:rFonts w:hint="eastAsia" w:ascii="宋体" w:hAnsi="宋体"/>
                <w:szCs w:val="21"/>
              </w:rPr>
              <w:t>循环</w:t>
            </w:r>
            <w:r>
              <w:rPr>
                <w:rFonts w:ascii="宋体" w:hAnsi="宋体"/>
                <w:szCs w:val="21"/>
              </w:rPr>
              <w:t>时间</w:t>
            </w:r>
          </w:p>
        </w:tc>
        <w:tc>
          <w:tcPr>
            <w:tcW w:w="4470" w:type="dxa"/>
            <w:shd w:val="clear" w:color="auto" w:fill="FFFFFF"/>
            <w:vAlign w:val="center"/>
          </w:tcPr>
          <w:p>
            <w:pPr>
              <w:pStyle w:val="15"/>
              <w:ind w:firstLine="0" w:firstLineChars="0"/>
              <w:contextualSpacing/>
              <w:jc w:val="left"/>
              <w:rPr>
                <w:rFonts w:ascii="宋体" w:hAnsi="宋体"/>
                <w:szCs w:val="21"/>
              </w:rPr>
            </w:pPr>
            <w:r>
              <w:rPr>
                <w:rFonts w:ascii="宋体" w:hAnsi="宋体"/>
                <w:szCs w:val="21"/>
              </w:rPr>
              <w:t>0-</w:t>
            </w:r>
            <w:r>
              <w:rPr>
                <w:rFonts w:hint="eastAsia" w:ascii="宋体" w:hAnsi="宋体"/>
                <w:szCs w:val="21"/>
              </w:rPr>
              <w:t>20</w:t>
            </w:r>
            <w:r>
              <w:rPr>
                <w:rFonts w:ascii="宋体" w:hAnsi="宋体"/>
                <w:szCs w:val="21"/>
              </w:rPr>
              <w:t>0MPa，t≤</w:t>
            </w:r>
            <w:r>
              <w:rPr>
                <w:rFonts w:hint="eastAsia" w:ascii="宋体" w:hAnsi="宋体"/>
                <w:szCs w:val="21"/>
              </w:rPr>
              <w:t>25</w:t>
            </w:r>
            <w:r>
              <w:rPr>
                <w:rFonts w:ascii="宋体" w:hAnsi="宋体"/>
                <w:szCs w:val="21"/>
              </w:rPr>
              <w:t>min</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11</w:t>
            </w:r>
          </w:p>
        </w:tc>
        <w:tc>
          <w:tcPr>
            <w:tcW w:w="2195" w:type="dxa"/>
            <w:shd w:val="clear" w:color="auto" w:fill="FFFFFF"/>
            <w:vAlign w:val="center"/>
          </w:tcPr>
          <w:p>
            <w:pPr>
              <w:contextualSpacing/>
              <w:jc w:val="left"/>
              <w:rPr>
                <w:rFonts w:ascii="宋体" w:hAnsi="宋体"/>
                <w:b/>
                <w:szCs w:val="21"/>
              </w:rPr>
            </w:pPr>
            <w:r>
              <w:rPr>
                <w:rFonts w:ascii="宋体" w:hAnsi="宋体"/>
                <w:b/>
                <w:szCs w:val="21"/>
              </w:rPr>
              <w:t>▲升压方式</w:t>
            </w:r>
          </w:p>
        </w:tc>
        <w:tc>
          <w:tcPr>
            <w:tcW w:w="4470" w:type="dxa"/>
            <w:shd w:val="clear" w:color="auto" w:fill="FFFFFF"/>
            <w:vAlign w:val="center"/>
          </w:tcPr>
          <w:p>
            <w:pPr>
              <w:pStyle w:val="15"/>
              <w:ind w:firstLine="0" w:firstLineChars="0"/>
              <w:contextualSpacing/>
              <w:jc w:val="left"/>
              <w:rPr>
                <w:rFonts w:ascii="宋体" w:hAnsi="宋体"/>
                <w:b/>
                <w:szCs w:val="21"/>
              </w:rPr>
            </w:pPr>
            <w:r>
              <w:rPr>
                <w:rFonts w:hint="eastAsia" w:ascii="宋体" w:hAnsi="宋体"/>
                <w:b/>
                <w:szCs w:val="21"/>
              </w:rPr>
              <w:t>多段升压</w:t>
            </w:r>
            <w:r>
              <w:rPr>
                <w:rFonts w:ascii="宋体" w:hAnsi="宋体"/>
                <w:b/>
                <w:szCs w:val="21"/>
              </w:rPr>
              <w:t>自动控制</w:t>
            </w:r>
            <w:r>
              <w:rPr>
                <w:rFonts w:hint="eastAsia" w:ascii="宋体" w:hAnsi="宋体"/>
                <w:b/>
                <w:szCs w:val="21"/>
              </w:rPr>
              <w:t>升压程序段≥3段；可以在触摸屏上设置升压速度</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12</w:t>
            </w:r>
          </w:p>
        </w:tc>
        <w:tc>
          <w:tcPr>
            <w:tcW w:w="2195" w:type="dxa"/>
            <w:shd w:val="clear" w:color="auto" w:fill="FFFFFF"/>
            <w:vAlign w:val="center"/>
          </w:tcPr>
          <w:p>
            <w:pPr>
              <w:contextualSpacing/>
              <w:jc w:val="left"/>
              <w:rPr>
                <w:rFonts w:ascii="宋体" w:hAnsi="宋体"/>
                <w:szCs w:val="21"/>
              </w:rPr>
            </w:pPr>
            <w:r>
              <w:rPr>
                <w:rFonts w:ascii="宋体" w:hAnsi="宋体"/>
                <w:szCs w:val="21"/>
              </w:rPr>
              <w:t>卸压方式</w:t>
            </w:r>
          </w:p>
        </w:tc>
        <w:tc>
          <w:tcPr>
            <w:tcW w:w="4470" w:type="dxa"/>
            <w:shd w:val="clear" w:color="auto" w:fill="FFFFFF"/>
            <w:vAlign w:val="center"/>
          </w:tcPr>
          <w:p>
            <w:pPr>
              <w:pStyle w:val="15"/>
              <w:ind w:firstLine="0" w:firstLineChars="0"/>
              <w:contextualSpacing/>
              <w:jc w:val="left"/>
              <w:rPr>
                <w:rFonts w:ascii="宋体" w:hAnsi="宋体"/>
                <w:szCs w:val="21"/>
              </w:rPr>
            </w:pPr>
            <w:r>
              <w:rPr>
                <w:rFonts w:hint="eastAsia" w:ascii="宋体" w:hAnsi="宋体"/>
                <w:szCs w:val="21"/>
              </w:rPr>
              <w:t>慢速+快速；泄压程序段≥3段；速度可调</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13</w:t>
            </w:r>
          </w:p>
        </w:tc>
        <w:tc>
          <w:tcPr>
            <w:tcW w:w="2195" w:type="dxa"/>
            <w:shd w:val="clear" w:color="auto" w:fill="FFFFFF"/>
            <w:vAlign w:val="center"/>
          </w:tcPr>
          <w:p>
            <w:pPr>
              <w:contextualSpacing/>
              <w:jc w:val="left"/>
              <w:rPr>
                <w:rFonts w:ascii="宋体" w:hAnsi="宋体"/>
                <w:b/>
                <w:szCs w:val="21"/>
              </w:rPr>
            </w:pPr>
            <w:r>
              <w:rPr>
                <w:rFonts w:ascii="宋体" w:hAnsi="宋体"/>
                <w:b/>
                <w:szCs w:val="21"/>
              </w:rPr>
              <w:t>▲</w:t>
            </w:r>
            <w:r>
              <w:rPr>
                <w:rFonts w:hint="eastAsia" w:ascii="宋体" w:hAnsi="宋体"/>
                <w:b/>
                <w:szCs w:val="21"/>
              </w:rPr>
              <w:t>泄压方式采用比例泄压</w:t>
            </w:r>
          </w:p>
        </w:tc>
        <w:tc>
          <w:tcPr>
            <w:tcW w:w="4470" w:type="dxa"/>
            <w:shd w:val="clear" w:color="auto" w:fill="FFFFFF"/>
            <w:vAlign w:val="center"/>
          </w:tcPr>
          <w:p>
            <w:pPr>
              <w:pStyle w:val="15"/>
              <w:ind w:firstLine="0" w:firstLineChars="0"/>
              <w:contextualSpacing/>
              <w:jc w:val="left"/>
              <w:rPr>
                <w:rFonts w:ascii="宋体" w:hAnsi="宋体"/>
                <w:b/>
                <w:szCs w:val="21"/>
              </w:rPr>
            </w:pPr>
            <w:r>
              <w:rPr>
                <w:rFonts w:hint="eastAsia" w:ascii="宋体" w:hAnsi="宋体"/>
                <w:b/>
                <w:szCs w:val="21"/>
              </w:rPr>
              <w:t>泄压时可根据时间来控制泄压的速度和压力</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14</w:t>
            </w:r>
          </w:p>
        </w:tc>
        <w:tc>
          <w:tcPr>
            <w:tcW w:w="2195" w:type="dxa"/>
            <w:shd w:val="clear" w:color="auto" w:fill="FFFFFF"/>
            <w:vAlign w:val="center"/>
          </w:tcPr>
          <w:p>
            <w:pPr>
              <w:contextualSpacing/>
              <w:jc w:val="left"/>
              <w:rPr>
                <w:rFonts w:ascii="宋体" w:hAnsi="宋体"/>
                <w:szCs w:val="21"/>
              </w:rPr>
            </w:pPr>
            <w:r>
              <w:rPr>
                <w:rFonts w:ascii="宋体" w:hAnsi="宋体"/>
                <w:szCs w:val="21"/>
              </w:rPr>
              <w:t>每段保压时间</w:t>
            </w:r>
          </w:p>
        </w:tc>
        <w:tc>
          <w:tcPr>
            <w:tcW w:w="4470" w:type="dxa"/>
            <w:shd w:val="clear" w:color="auto" w:fill="FFFFFF"/>
            <w:vAlign w:val="center"/>
          </w:tcPr>
          <w:p>
            <w:pPr>
              <w:pStyle w:val="15"/>
              <w:ind w:firstLine="0" w:firstLineChars="0"/>
              <w:contextualSpacing/>
              <w:jc w:val="left"/>
              <w:rPr>
                <w:rFonts w:ascii="宋体" w:hAnsi="宋体"/>
                <w:szCs w:val="21"/>
              </w:rPr>
            </w:pPr>
            <w:r>
              <w:rPr>
                <w:rFonts w:ascii="宋体" w:hAnsi="宋体"/>
                <w:szCs w:val="21"/>
              </w:rPr>
              <w:t>0~999s 内可设定</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15</w:t>
            </w:r>
          </w:p>
        </w:tc>
        <w:tc>
          <w:tcPr>
            <w:tcW w:w="2195" w:type="dxa"/>
            <w:shd w:val="clear" w:color="auto" w:fill="FFFFFF"/>
            <w:vAlign w:val="center"/>
          </w:tcPr>
          <w:p>
            <w:pPr>
              <w:contextualSpacing/>
              <w:jc w:val="left"/>
              <w:rPr>
                <w:rFonts w:ascii="宋体" w:hAnsi="宋体"/>
                <w:szCs w:val="21"/>
              </w:rPr>
            </w:pPr>
            <w:r>
              <w:rPr>
                <w:rFonts w:hint="eastAsia" w:ascii="宋体" w:hAnsi="宋体"/>
                <w:szCs w:val="21"/>
              </w:rPr>
              <w:t>气密性</w:t>
            </w:r>
          </w:p>
        </w:tc>
        <w:tc>
          <w:tcPr>
            <w:tcW w:w="4470" w:type="dxa"/>
            <w:shd w:val="clear" w:color="auto" w:fill="FFFFFF"/>
            <w:vAlign w:val="center"/>
          </w:tcPr>
          <w:p>
            <w:pPr>
              <w:contextualSpacing/>
              <w:jc w:val="left"/>
              <w:rPr>
                <w:rFonts w:ascii="宋体" w:hAnsi="宋体"/>
                <w:szCs w:val="21"/>
              </w:rPr>
            </w:pPr>
            <w:r>
              <w:rPr>
                <w:rFonts w:hint="eastAsia" w:ascii="宋体" w:hAnsi="宋体"/>
                <w:szCs w:val="21"/>
              </w:rPr>
              <w:t>加压至</w:t>
            </w:r>
            <w:r>
              <w:rPr>
                <w:rFonts w:ascii="宋体" w:hAnsi="宋体"/>
                <w:szCs w:val="21"/>
              </w:rPr>
              <w:t>最高工作压力</w:t>
            </w:r>
            <w:r>
              <w:rPr>
                <w:rFonts w:hint="eastAsia" w:ascii="宋体" w:hAnsi="宋体"/>
                <w:szCs w:val="21"/>
              </w:rPr>
              <w:t>，保压10min，压力降为</w:t>
            </w:r>
            <w:r>
              <w:rPr>
                <w:rFonts w:ascii="宋体" w:hAnsi="宋体"/>
                <w:szCs w:val="21"/>
              </w:rPr>
              <w:t>≤</w:t>
            </w:r>
            <w:r>
              <w:rPr>
                <w:rFonts w:hint="eastAsia" w:ascii="宋体" w:hAnsi="宋体"/>
                <w:szCs w:val="21"/>
              </w:rPr>
              <w:t>5M</w:t>
            </w:r>
            <w:r>
              <w:rPr>
                <w:rFonts w:ascii="宋体" w:hAnsi="宋体"/>
                <w:szCs w:val="21"/>
              </w:rPr>
              <w:t>p</w:t>
            </w:r>
            <w:r>
              <w:rPr>
                <w:rFonts w:hint="eastAsia" w:ascii="宋体" w:hAnsi="宋体"/>
                <w:szCs w:val="21"/>
              </w:rPr>
              <w:t>a，即可</w:t>
            </w:r>
            <w:r>
              <w:rPr>
                <w:rFonts w:ascii="宋体" w:hAnsi="宋体"/>
                <w:szCs w:val="21"/>
              </w:rPr>
              <w:t>自动补压</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16</w:t>
            </w:r>
          </w:p>
        </w:tc>
        <w:tc>
          <w:tcPr>
            <w:tcW w:w="2195" w:type="dxa"/>
            <w:shd w:val="clear" w:color="auto" w:fill="FFFFFF"/>
            <w:vAlign w:val="center"/>
          </w:tcPr>
          <w:p>
            <w:pPr>
              <w:contextualSpacing/>
              <w:jc w:val="left"/>
              <w:rPr>
                <w:rFonts w:ascii="宋体" w:hAnsi="宋体"/>
                <w:szCs w:val="21"/>
              </w:rPr>
            </w:pPr>
            <w:r>
              <w:rPr>
                <w:rFonts w:ascii="宋体" w:hAnsi="宋体"/>
                <w:szCs w:val="21"/>
              </w:rPr>
              <w:t>控制方式</w:t>
            </w:r>
          </w:p>
        </w:tc>
        <w:tc>
          <w:tcPr>
            <w:tcW w:w="4470" w:type="dxa"/>
            <w:shd w:val="clear" w:color="auto" w:fill="FFFFFF"/>
            <w:vAlign w:val="center"/>
          </w:tcPr>
          <w:p>
            <w:pPr>
              <w:contextualSpacing/>
              <w:jc w:val="left"/>
              <w:rPr>
                <w:rFonts w:ascii="宋体" w:hAnsi="宋体"/>
                <w:szCs w:val="21"/>
              </w:rPr>
            </w:pPr>
            <w:r>
              <w:rPr>
                <w:rFonts w:ascii="宋体" w:hAnsi="宋体"/>
                <w:szCs w:val="21"/>
              </w:rPr>
              <w:t>PLC+</w:t>
            </w:r>
            <w:r>
              <w:rPr>
                <w:rFonts w:hint="eastAsia" w:ascii="宋体" w:hAnsi="宋体"/>
                <w:szCs w:val="21"/>
              </w:rPr>
              <w:t>触摸屏</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17</w:t>
            </w:r>
          </w:p>
        </w:tc>
        <w:tc>
          <w:tcPr>
            <w:tcW w:w="2195" w:type="dxa"/>
            <w:shd w:val="clear" w:color="auto" w:fill="FFFFFF"/>
            <w:vAlign w:val="center"/>
          </w:tcPr>
          <w:p>
            <w:pPr>
              <w:contextualSpacing/>
              <w:jc w:val="left"/>
              <w:rPr>
                <w:rFonts w:ascii="宋体" w:hAnsi="宋体"/>
                <w:szCs w:val="21"/>
              </w:rPr>
            </w:pPr>
            <w:r>
              <w:rPr>
                <w:rFonts w:ascii="宋体" w:hAnsi="宋体"/>
                <w:szCs w:val="21"/>
              </w:rPr>
              <w:t>冷却水要求</w:t>
            </w:r>
          </w:p>
        </w:tc>
        <w:tc>
          <w:tcPr>
            <w:tcW w:w="4470" w:type="dxa"/>
            <w:shd w:val="clear" w:color="auto" w:fill="FFFFFF"/>
            <w:vAlign w:val="center"/>
          </w:tcPr>
          <w:p>
            <w:pPr>
              <w:contextualSpacing/>
              <w:jc w:val="left"/>
              <w:rPr>
                <w:rFonts w:ascii="宋体" w:hAnsi="宋体"/>
                <w:szCs w:val="21"/>
              </w:rPr>
            </w:pPr>
            <w:r>
              <w:rPr>
                <w:rFonts w:hint="eastAsia" w:ascii="宋体" w:hAnsi="宋体"/>
                <w:szCs w:val="21"/>
              </w:rPr>
              <w:t>≥2.5</w:t>
            </w:r>
            <w:r>
              <w:rPr>
                <w:rFonts w:ascii="宋体" w:hAnsi="宋体"/>
                <w:szCs w:val="21"/>
              </w:rPr>
              <w:t>m</w:t>
            </w:r>
            <w:r>
              <w:rPr>
                <w:rFonts w:ascii="宋体" w:hAnsi="宋体"/>
                <w:szCs w:val="21"/>
                <w:vertAlign w:val="superscript"/>
              </w:rPr>
              <w:t>3</w:t>
            </w:r>
            <w:r>
              <w:rPr>
                <w:rFonts w:ascii="宋体" w:hAnsi="宋体"/>
                <w:szCs w:val="21"/>
              </w:rPr>
              <w:t>/h</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18</w:t>
            </w:r>
          </w:p>
        </w:tc>
        <w:tc>
          <w:tcPr>
            <w:tcW w:w="2195" w:type="dxa"/>
            <w:shd w:val="clear" w:color="auto" w:fill="FFFFFF"/>
            <w:vAlign w:val="center"/>
          </w:tcPr>
          <w:p>
            <w:pPr>
              <w:contextualSpacing/>
              <w:jc w:val="left"/>
              <w:rPr>
                <w:rFonts w:ascii="宋体" w:hAnsi="宋体"/>
                <w:szCs w:val="21"/>
              </w:rPr>
            </w:pPr>
            <w:r>
              <w:rPr>
                <w:rFonts w:ascii="宋体" w:hAnsi="宋体"/>
                <w:szCs w:val="21"/>
              </w:rPr>
              <w:t>总装机功率</w:t>
            </w:r>
          </w:p>
        </w:tc>
        <w:tc>
          <w:tcPr>
            <w:tcW w:w="4470" w:type="dxa"/>
            <w:shd w:val="clear" w:color="auto" w:fill="FFFFFF"/>
            <w:vAlign w:val="center"/>
          </w:tcPr>
          <w:p>
            <w:pPr>
              <w:contextualSpacing/>
              <w:jc w:val="left"/>
              <w:rPr>
                <w:rFonts w:ascii="宋体" w:hAnsi="宋体"/>
                <w:szCs w:val="21"/>
              </w:rPr>
            </w:pPr>
            <w:r>
              <w:rPr>
                <w:rFonts w:hint="eastAsia" w:ascii="宋体" w:hAnsi="宋体"/>
                <w:szCs w:val="21"/>
              </w:rPr>
              <w:t>≥58.5kw</w:t>
            </w:r>
            <w:r>
              <w:rPr>
                <w:rFonts w:ascii="宋体" w:hAnsi="宋体"/>
                <w:szCs w:val="21"/>
              </w:rPr>
              <w:t xml:space="preserve"> </w:t>
            </w:r>
            <w:r>
              <w:rPr>
                <w:rFonts w:hint="eastAsia" w:ascii="宋体" w:hAnsi="宋体"/>
                <w:szCs w:val="21"/>
              </w:rPr>
              <w:t>(主电机≥45</w:t>
            </w:r>
            <w:r>
              <w:rPr>
                <w:rFonts w:ascii="宋体" w:hAnsi="宋体"/>
                <w:szCs w:val="21"/>
              </w:rPr>
              <w:t xml:space="preserve">kw </w:t>
            </w:r>
            <w:r>
              <w:rPr>
                <w:rFonts w:hint="eastAsia" w:ascii="宋体" w:hAnsi="宋体"/>
                <w:szCs w:val="21"/>
              </w:rPr>
              <w:t>+控制电机≥7.5kw+预压电机≥3kw+抽液电机≥3kw)</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19</w:t>
            </w:r>
          </w:p>
        </w:tc>
        <w:tc>
          <w:tcPr>
            <w:tcW w:w="2195" w:type="dxa"/>
            <w:shd w:val="clear" w:color="auto" w:fill="FFFFFF"/>
            <w:vAlign w:val="center"/>
          </w:tcPr>
          <w:p>
            <w:pPr>
              <w:contextualSpacing/>
              <w:jc w:val="left"/>
              <w:rPr>
                <w:rFonts w:ascii="宋体" w:hAnsi="宋体"/>
                <w:szCs w:val="21"/>
              </w:rPr>
            </w:pPr>
            <w:r>
              <w:rPr>
                <w:rFonts w:ascii="宋体" w:hAnsi="宋体"/>
                <w:szCs w:val="21"/>
              </w:rPr>
              <w:t>总重量</w:t>
            </w:r>
          </w:p>
        </w:tc>
        <w:tc>
          <w:tcPr>
            <w:tcW w:w="4470" w:type="dxa"/>
            <w:shd w:val="clear" w:color="auto" w:fill="FFFFFF"/>
            <w:vAlign w:val="center"/>
          </w:tcPr>
          <w:p>
            <w:pPr>
              <w:contextualSpacing/>
              <w:jc w:val="left"/>
              <w:rPr>
                <w:rFonts w:ascii="宋体" w:hAnsi="宋体"/>
                <w:szCs w:val="21"/>
              </w:rPr>
            </w:pPr>
            <w:r>
              <w:rPr>
                <w:rFonts w:hint="eastAsia" w:ascii="宋体" w:hAnsi="宋体"/>
                <w:szCs w:val="21"/>
              </w:rPr>
              <w:t>≥46吨</w:t>
            </w:r>
          </w:p>
        </w:tc>
        <w:tc>
          <w:tcPr>
            <w:tcW w:w="1000" w:type="dxa"/>
            <w:shd w:val="clear" w:color="auto" w:fill="FFFFFF"/>
            <w:vAlign w:val="center"/>
          </w:tcPr>
          <w:p>
            <w:pPr>
              <w:contextualSpacing/>
              <w:jc w:val="left"/>
              <w:rPr>
                <w:color w:val="000000"/>
                <w:szCs w:val="21"/>
              </w:rPr>
            </w:pPr>
          </w:p>
        </w:tc>
      </w:tr>
    </w:tbl>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color w:val="000000"/>
          <w:sz w:val="24"/>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1.安装、调试、培训。</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3.货到一周内，投标人免费到招标人现场进行安装调试。</w:t>
      </w:r>
    </w:p>
    <w:p>
      <w:pPr>
        <w:pStyle w:val="5"/>
        <w:spacing w:line="360" w:lineRule="auto"/>
        <w:ind w:firstLine="480" w:firstLineChars="200"/>
        <w:rPr>
          <w:rFonts w:ascii="宋体" w:hAnsi="宋体"/>
          <w:color w:val="000000" w:themeColor="text1"/>
          <w:sz w:val="24"/>
          <w:szCs w:val="24"/>
        </w:rPr>
      </w:pPr>
      <w:r>
        <w:rPr>
          <w:rFonts w:hint="eastAsia" w:ascii="宋体" w:hAnsi="宋体" w:cs="宋体"/>
          <w:color w:val="000000" w:themeColor="text1"/>
          <w:sz w:val="24"/>
          <w:szCs w:val="24"/>
        </w:rPr>
        <w:t>4.投标人分三次对对招标人进行培训，设备验收前进行</w:t>
      </w:r>
      <w:r>
        <w:rPr>
          <w:rFonts w:hint="eastAsia" w:ascii="宋体" w:hAnsi="宋体"/>
          <w:color w:val="000000" w:themeColor="text1"/>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000000" w:themeColor="text1"/>
          <w:sz w:val="24"/>
          <w:szCs w:val="24"/>
        </w:rPr>
        <w:t>3</w:t>
      </w:r>
      <w:r>
        <w:rPr>
          <w:rFonts w:hint="eastAsia" w:ascii="宋体" w:hAnsi="宋体"/>
          <w:color w:val="000000" w:themeColor="text1"/>
          <w:sz w:val="24"/>
          <w:szCs w:val="24"/>
        </w:rPr>
        <w:t>个月内，进行一次技术提高培训。设备验收</w:t>
      </w:r>
      <w:r>
        <w:rPr>
          <w:rFonts w:ascii="宋体" w:hAnsi="宋体"/>
          <w:color w:val="000000" w:themeColor="text1"/>
          <w:sz w:val="24"/>
          <w:szCs w:val="24"/>
        </w:rPr>
        <w:t>9</w:t>
      </w:r>
      <w:r>
        <w:rPr>
          <w:rFonts w:hint="eastAsia" w:ascii="宋体" w:hAnsi="宋体"/>
          <w:color w:val="000000" w:themeColor="text1"/>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rFonts w:hint="eastAsia"/>
          <w:b/>
          <w:bCs/>
          <w:color w:val="FF0000"/>
          <w:sz w:val="24"/>
        </w:rPr>
        <w:t>120天</w:t>
      </w:r>
      <w:r>
        <w:rPr>
          <w:rFonts w:hint="eastAsia"/>
          <w:b/>
          <w:bCs/>
          <w:color w:val="000000"/>
          <w:sz w:val="24"/>
        </w:rPr>
        <w:t>内完成供货安装，</w:t>
      </w:r>
      <w:r>
        <w:rPr>
          <w:rFonts w:hint="eastAsia"/>
          <w:b/>
          <w:bCs/>
          <w:color w:val="FF0000"/>
          <w:sz w:val="24"/>
        </w:rPr>
        <w:t>质保期1年</w:t>
      </w:r>
      <w:r>
        <w:rPr>
          <w:rFonts w:hint="eastAsia"/>
          <w:b/>
          <w:bCs/>
          <w:color w:val="000000"/>
          <w:sz w:val="24"/>
        </w:rPr>
        <w:t>，自项目运行验收合格之日起</w:t>
      </w:r>
      <w:r>
        <w:rPr>
          <w:rFonts w:hAnsi="宋体"/>
          <w:b/>
          <w:bCs/>
          <w:color w:val="000000" w:themeColor="text1"/>
          <w:sz w:val="24"/>
        </w:rPr>
        <w:t xml:space="preserve"> 1</w:t>
      </w:r>
      <w:r>
        <w:rPr>
          <w:rFonts w:hint="eastAsia" w:hAnsi="宋体"/>
          <w:b/>
          <w:bCs/>
          <w:color w:val="000000" w:themeColor="text1"/>
          <w:sz w:val="24"/>
        </w:rPr>
        <w:t>个月后开始</w:t>
      </w:r>
      <w:r>
        <w:rPr>
          <w:rFonts w:hint="eastAsia"/>
          <w:b/>
          <w:bCs/>
          <w:color w:val="000000"/>
          <w:sz w:val="24"/>
        </w:rPr>
        <w:t>计算。</w:t>
      </w:r>
      <w:bookmarkStart w:id="5" w:name="_Hlk66699712"/>
    </w:p>
    <w:bookmarkEnd w:id="5"/>
    <w:p>
      <w:pPr>
        <w:widowControl/>
        <w:spacing w:line="360" w:lineRule="auto"/>
        <w:ind w:firstLine="482" w:firstLineChars="200"/>
        <w:jc w:val="left"/>
        <w:rPr>
          <w:b/>
          <w:bCs/>
          <w:color w:val="FF0000"/>
          <w:sz w:val="24"/>
        </w:rPr>
      </w:pP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lang w:eastAsia="zh-CN"/>
        </w:rPr>
        <w:t>：无</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rPr>
      </w:pPr>
      <w:r>
        <w:rPr>
          <w:rFonts w:ascii="宋体" w:hAnsi="宋体" w:cs="宋体"/>
          <w:b/>
          <w:bCs/>
          <w:color w:val="000000" w:themeColor="text1"/>
          <w:sz w:val="28"/>
          <w:szCs w:val="28"/>
        </w:rPr>
        <w:t>冷等静压机</w:t>
      </w:r>
      <w:r>
        <w:rPr>
          <w:rFonts w:hint="eastAsia" w:ascii="宋体" w:hAnsi="宋体" w:cs="宋体"/>
          <w:b/>
          <w:bCs/>
          <w:color w:val="000000" w:themeColor="text1"/>
          <w:sz w:val="28"/>
          <w:szCs w:val="28"/>
        </w:rPr>
        <w:t>设备采购合同</w:t>
      </w:r>
    </w:p>
    <w:p>
      <w:pPr>
        <w:spacing w:line="360" w:lineRule="auto"/>
        <w:rPr>
          <w:rFonts w:ascii="宋体"/>
          <w:color w:val="000000" w:themeColor="text1"/>
          <w:sz w:val="24"/>
        </w:rPr>
      </w:pPr>
      <w:r>
        <w:rPr>
          <w:rFonts w:hint="eastAsia" w:ascii="宋体" w:hAnsi="宋体"/>
          <w:color w:val="000000" w:themeColor="text1"/>
          <w:sz w:val="24"/>
        </w:rPr>
        <w:t>甲</w:t>
      </w:r>
      <w:r>
        <w:rPr>
          <w:rFonts w:ascii="宋体" w:hAnsi="宋体"/>
          <w:color w:val="000000" w:themeColor="text1"/>
          <w:sz w:val="24"/>
        </w:rPr>
        <w:t xml:space="preserve">  </w:t>
      </w:r>
      <w:r>
        <w:rPr>
          <w:rFonts w:hint="eastAsia" w:ascii="宋体" w:hAnsi="宋体"/>
          <w:color w:val="000000" w:themeColor="text1"/>
          <w:sz w:val="24"/>
        </w:rPr>
        <w:t>方：衢州学院</w:t>
      </w:r>
      <w:r>
        <w:rPr>
          <w:rFonts w:ascii="宋体" w:hAnsi="宋体"/>
          <w:color w:val="000000" w:themeColor="text1"/>
          <w:sz w:val="24"/>
        </w:rPr>
        <w:t xml:space="preserve">                     </w:t>
      </w:r>
      <w:r>
        <w:rPr>
          <w:rFonts w:hint="eastAsia" w:ascii="宋体" w:hAnsi="宋体"/>
          <w:color w:val="000000" w:themeColor="text1"/>
          <w:sz w:val="24"/>
        </w:rPr>
        <w:t>乙</w:t>
      </w:r>
      <w:r>
        <w:rPr>
          <w:rFonts w:ascii="宋体" w:hAnsi="宋体"/>
          <w:color w:val="000000" w:themeColor="text1"/>
          <w:sz w:val="24"/>
        </w:rPr>
        <w:t xml:space="preserve">  </w:t>
      </w:r>
      <w:r>
        <w:rPr>
          <w:rFonts w:hint="eastAsia" w:ascii="宋体" w:hAnsi="宋体"/>
          <w:color w:val="000000" w:themeColor="text1"/>
          <w:sz w:val="24"/>
        </w:rPr>
        <w:t>方：</w:t>
      </w:r>
    </w:p>
    <w:p>
      <w:pPr>
        <w:spacing w:line="360" w:lineRule="auto"/>
        <w:ind w:left="5400" w:hanging="5400" w:hangingChars="2250"/>
        <w:rPr>
          <w:rFonts w:ascii="宋体" w:hAnsi="宋体"/>
          <w:bCs/>
          <w:color w:val="000000" w:themeColor="text1"/>
          <w:sz w:val="24"/>
        </w:rPr>
      </w:pP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w:t>
      </w:r>
      <w:r>
        <w:rPr>
          <w:rFonts w:hint="eastAsia" w:ascii="宋体" w:hAnsi="宋体"/>
          <w:bCs/>
          <w:color w:val="000000" w:themeColor="text1"/>
          <w:sz w:val="24"/>
        </w:rPr>
        <w:t>衢州市九华北大道</w:t>
      </w:r>
      <w:r>
        <w:rPr>
          <w:rFonts w:ascii="宋体" w:hAnsi="宋体"/>
          <w:bCs/>
          <w:color w:val="000000" w:themeColor="text1"/>
          <w:sz w:val="24"/>
        </w:rPr>
        <w:t>78</w:t>
      </w:r>
      <w:r>
        <w:rPr>
          <w:rFonts w:hint="eastAsia" w:ascii="宋体" w:hAnsi="宋体"/>
          <w:bCs/>
          <w:color w:val="000000" w:themeColor="text1"/>
          <w:sz w:val="24"/>
        </w:rPr>
        <w:t>号</w:t>
      </w:r>
      <w:r>
        <w:rPr>
          <w:rFonts w:ascii="宋体" w:hAnsi="宋体"/>
          <w:color w:val="000000" w:themeColor="text1"/>
          <w:sz w:val="24"/>
        </w:rPr>
        <w:t xml:space="preserve">        </w:t>
      </w: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w:t>
      </w:r>
    </w:p>
    <w:p>
      <w:pPr>
        <w:spacing w:line="360" w:lineRule="auto"/>
        <w:rPr>
          <w:rFonts w:ascii="宋体"/>
          <w:color w:val="000000" w:themeColor="text1"/>
          <w:sz w:val="24"/>
        </w:rPr>
      </w:pPr>
      <w:r>
        <w:rPr>
          <w:rFonts w:hint="eastAsia" w:ascii="宋体" w:hAnsi="宋体"/>
          <w:color w:val="000000" w:themeColor="text1"/>
          <w:sz w:val="24"/>
        </w:rPr>
        <w:t>邮</w:t>
      </w:r>
      <w:r>
        <w:rPr>
          <w:rFonts w:ascii="宋体" w:hAnsi="宋体"/>
          <w:color w:val="000000" w:themeColor="text1"/>
          <w:sz w:val="24"/>
        </w:rPr>
        <w:t xml:space="preserve">  </w:t>
      </w:r>
      <w:r>
        <w:rPr>
          <w:rFonts w:hint="eastAsia" w:ascii="宋体" w:hAnsi="宋体"/>
          <w:color w:val="000000" w:themeColor="text1"/>
          <w:sz w:val="24"/>
        </w:rPr>
        <w:t>编：</w:t>
      </w:r>
      <w:r>
        <w:rPr>
          <w:rFonts w:ascii="宋体" w:hAnsi="宋体"/>
          <w:color w:val="000000" w:themeColor="text1"/>
          <w:sz w:val="24"/>
        </w:rPr>
        <w:t xml:space="preserve">324000                       </w:t>
      </w:r>
      <w:r>
        <w:rPr>
          <w:rFonts w:hint="eastAsia" w:ascii="宋体" w:hAnsi="宋体"/>
          <w:color w:val="000000" w:themeColor="text1"/>
          <w:sz w:val="24"/>
        </w:rPr>
        <w:t>邮</w:t>
      </w:r>
      <w:r>
        <w:rPr>
          <w:rFonts w:ascii="宋体" w:hAnsi="宋体"/>
          <w:color w:val="000000" w:themeColor="text1"/>
          <w:sz w:val="24"/>
        </w:rPr>
        <w:t xml:space="preserve">  </w:t>
      </w:r>
      <w:r>
        <w:rPr>
          <w:rFonts w:hint="eastAsia" w:ascii="宋体" w:hAnsi="宋体"/>
          <w:color w:val="000000" w:themeColor="text1"/>
          <w:sz w:val="24"/>
        </w:rPr>
        <w:t>编：</w:t>
      </w:r>
    </w:p>
    <w:p>
      <w:pPr>
        <w:spacing w:line="360" w:lineRule="auto"/>
        <w:rPr>
          <w:rFonts w:ascii="宋体"/>
          <w:color w:val="000000" w:themeColor="text1"/>
          <w:sz w:val="24"/>
        </w:rPr>
      </w:pPr>
      <w:r>
        <w:rPr>
          <w:rFonts w:hint="eastAsia" w:ascii="宋体" w:hAnsi="宋体"/>
          <w:color w:val="000000" w:themeColor="text1"/>
          <w:sz w:val="24"/>
        </w:rPr>
        <w:t>联系人：冯凯萍</w:t>
      </w:r>
      <w:r>
        <w:rPr>
          <w:rFonts w:ascii="宋体" w:hAnsi="宋体"/>
          <w:color w:val="000000" w:themeColor="text1"/>
          <w:sz w:val="24"/>
        </w:rPr>
        <w:t xml:space="preserve">                     </w:t>
      </w:r>
      <w:r>
        <w:rPr>
          <w:rFonts w:hint="eastAsia" w:ascii="宋体" w:hAnsi="宋体"/>
          <w:color w:val="000000" w:themeColor="text1"/>
          <w:sz w:val="24"/>
        </w:rPr>
        <w:t xml:space="preserve">  联系人：</w:t>
      </w:r>
    </w:p>
    <w:p>
      <w:pPr>
        <w:spacing w:line="360" w:lineRule="auto"/>
        <w:rPr>
          <w:rFonts w:ascii="宋体"/>
          <w:color w:val="000000" w:themeColor="text1"/>
          <w:sz w:val="24"/>
        </w:rPr>
      </w:pPr>
      <w:r>
        <w:rPr>
          <w:rFonts w:hint="eastAsia" w:ascii="宋体" w:hAnsi="宋体"/>
          <w:color w:val="000000" w:themeColor="text1"/>
          <w:sz w:val="24"/>
        </w:rPr>
        <w:t>电</w:t>
      </w:r>
      <w:r>
        <w:rPr>
          <w:rFonts w:ascii="宋体" w:hAnsi="宋体"/>
          <w:color w:val="000000" w:themeColor="text1"/>
          <w:sz w:val="24"/>
        </w:rPr>
        <w:t xml:space="preserve">  </w:t>
      </w:r>
      <w:r>
        <w:rPr>
          <w:rFonts w:hint="eastAsia" w:ascii="宋体" w:hAnsi="宋体"/>
          <w:color w:val="000000" w:themeColor="text1"/>
          <w:sz w:val="24"/>
        </w:rPr>
        <w:t>话：18268962302</w:t>
      </w:r>
      <w:r>
        <w:rPr>
          <w:rFonts w:ascii="宋体" w:hAnsi="宋体"/>
          <w:color w:val="000000" w:themeColor="text1"/>
          <w:sz w:val="24"/>
        </w:rPr>
        <w:t xml:space="preserve">               </w:t>
      </w:r>
      <w:r>
        <w:rPr>
          <w:rFonts w:hint="eastAsia" w:ascii="宋体" w:hAnsi="宋体"/>
          <w:color w:val="000000" w:themeColor="text1"/>
          <w:sz w:val="24"/>
        </w:rPr>
        <w:t xml:space="preserve">   电</w:t>
      </w:r>
      <w:r>
        <w:rPr>
          <w:rFonts w:ascii="宋体" w:hAnsi="宋体"/>
          <w:color w:val="000000" w:themeColor="text1"/>
          <w:sz w:val="24"/>
        </w:rPr>
        <w:t xml:space="preserve">  </w:t>
      </w:r>
      <w:r>
        <w:rPr>
          <w:rFonts w:hint="eastAsia" w:ascii="宋体" w:hAnsi="宋体"/>
          <w:color w:val="000000" w:themeColor="text1"/>
          <w:sz w:val="24"/>
        </w:rPr>
        <w:t>话：</w:t>
      </w:r>
    </w:p>
    <w:p>
      <w:pPr>
        <w:spacing w:line="360" w:lineRule="auto"/>
        <w:jc w:val="right"/>
        <w:rPr>
          <w:rFonts w:ascii="宋体"/>
          <w:color w:val="000000" w:themeColor="text1"/>
          <w:sz w:val="24"/>
        </w:rPr>
      </w:pPr>
      <w:r>
        <w:rPr>
          <w:rFonts w:hint="eastAsia" w:ascii="宋体" w:hAnsi="宋体"/>
          <w:color w:val="000000" w:themeColor="text1"/>
          <w:sz w:val="24"/>
        </w:rPr>
        <w:t>签约地点：浙江衢州</w:t>
      </w:r>
    </w:p>
    <w:p>
      <w:pPr>
        <w:spacing w:line="360" w:lineRule="auto"/>
        <w:ind w:firstLine="482" w:firstLineChars="200"/>
        <w:rPr>
          <w:rFonts w:ascii="宋体"/>
          <w:b/>
          <w:color w:val="000000" w:themeColor="text1"/>
          <w:sz w:val="24"/>
        </w:rPr>
      </w:pPr>
      <w:r>
        <w:rPr>
          <w:rFonts w:hint="eastAsia" w:ascii="宋体" w:hAnsi="宋体"/>
          <w:b/>
          <w:color w:val="000000" w:themeColor="text1"/>
          <w:sz w:val="24"/>
        </w:rPr>
        <w:t>一、说</w:t>
      </w:r>
      <w:r>
        <w:rPr>
          <w:rFonts w:ascii="宋体" w:hAnsi="宋体"/>
          <w:b/>
          <w:color w:val="000000" w:themeColor="text1"/>
          <w:sz w:val="24"/>
        </w:rPr>
        <w:t xml:space="preserve">  </w:t>
      </w:r>
      <w:r>
        <w:rPr>
          <w:rFonts w:hint="eastAsia" w:ascii="宋体" w:hAnsi="宋体"/>
          <w:b/>
          <w:color w:val="000000" w:themeColor="text1"/>
          <w:sz w:val="24"/>
        </w:rPr>
        <w:t>明</w:t>
      </w:r>
    </w:p>
    <w:p>
      <w:pPr>
        <w:pStyle w:val="11"/>
        <w:spacing w:before="0" w:beforeAutospacing="0" w:after="0" w:afterAutospacing="0" w:line="360" w:lineRule="auto"/>
        <w:ind w:firstLine="480" w:firstLineChars="200"/>
        <w:rPr>
          <w:color w:val="000000" w:themeColor="text1"/>
          <w:kern w:val="2"/>
        </w:rPr>
      </w:pPr>
      <w:r>
        <w:rPr>
          <w:color w:val="000000" w:themeColor="text1"/>
          <w:kern w:val="2"/>
        </w:rPr>
        <w:t>1.</w:t>
      </w:r>
      <w:r>
        <w:rPr>
          <w:rFonts w:hint="eastAsia"/>
          <w:color w:val="000000" w:themeColor="text1"/>
          <w:kern w:val="2"/>
        </w:rPr>
        <w:t>依据《中华人民共和国民法典》的规定，现就甲方向乙方购买</w:t>
      </w:r>
      <w:r>
        <w:rPr>
          <w:rFonts w:cs="宋体"/>
          <w:b/>
          <w:bCs/>
          <w:color w:val="000000" w:themeColor="text1"/>
        </w:rPr>
        <w:t>冷等静压机</w:t>
      </w:r>
      <w:r>
        <w:rPr>
          <w:rFonts w:hint="eastAsia"/>
          <w:color w:val="000000" w:themeColor="text1"/>
          <w:kern w:val="2"/>
        </w:rPr>
        <w:t>一台，经双方协商一致本着平等自愿的原则签订本合同。</w:t>
      </w:r>
    </w:p>
    <w:p>
      <w:pPr>
        <w:pStyle w:val="11"/>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招标文件，投标文件，评标文件</w:t>
      </w:r>
      <w:r>
        <w:rPr>
          <w:color w:val="000000" w:themeColor="text1"/>
          <w:kern w:val="2"/>
        </w:rPr>
        <w:t>,</w:t>
      </w:r>
      <w:r>
        <w:rPr>
          <w:rFonts w:hint="eastAsia"/>
          <w:color w:val="000000" w:themeColor="text1"/>
          <w:kern w:val="2"/>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themeColor="text1"/>
          <w:kern w:val="2"/>
        </w:rPr>
      </w:pPr>
      <w:r>
        <w:rPr>
          <w:color w:val="000000" w:themeColor="text1"/>
          <w:kern w:val="2"/>
        </w:rPr>
        <w:t>3.</w:t>
      </w:r>
      <w:r>
        <w:rPr>
          <w:rFonts w:hint="eastAsia"/>
          <w:color w:val="000000" w:themeColor="text1"/>
          <w:kern w:val="2"/>
        </w:rPr>
        <w:t>乙方履约时应遵循疫情期间相关管理规定。</w:t>
      </w:r>
    </w:p>
    <w:p>
      <w:pPr>
        <w:spacing w:line="360" w:lineRule="auto"/>
        <w:ind w:firstLine="480" w:firstLineChars="200"/>
        <w:rPr>
          <w:rFonts w:ascii="宋体"/>
          <w:color w:val="000000" w:themeColor="text1"/>
          <w:sz w:val="24"/>
        </w:rPr>
      </w:pPr>
      <w:r>
        <w:rPr>
          <w:rFonts w:ascii="宋体" w:hAnsi="宋体"/>
          <w:color w:val="000000" w:themeColor="text1"/>
          <w:sz w:val="24"/>
        </w:rPr>
        <w:t>4.</w:t>
      </w:r>
      <w:r>
        <w:rPr>
          <w:rFonts w:hint="eastAsia" w:ascii="宋体" w:hAnsi="宋体"/>
          <w:color w:val="000000" w:themeColor="text1"/>
          <w:sz w:val="24"/>
        </w:rPr>
        <w:t>采购商品清单及价格</w:t>
      </w:r>
    </w:p>
    <w:p>
      <w:pPr>
        <w:spacing w:line="360" w:lineRule="auto"/>
        <w:jc w:val="right"/>
        <w:rPr>
          <w:rFonts w:ascii="宋体"/>
          <w:color w:val="000000" w:themeColor="text1"/>
          <w:sz w:val="24"/>
        </w:rPr>
      </w:pPr>
      <w:r>
        <w:rPr>
          <w:rFonts w:hint="eastAsia" w:ascii="宋体" w:hAnsi="宋体"/>
          <w:color w:val="000000" w:themeColor="text1"/>
          <w:sz w:val="24"/>
        </w:rPr>
        <w:t>金额单位：元</w:t>
      </w:r>
      <w:r>
        <w:rPr>
          <w:rFonts w:ascii="宋体" w:hAnsi="宋体"/>
          <w:color w:val="000000" w:themeColor="text1"/>
          <w:sz w:val="24"/>
        </w:rPr>
        <w:t xml:space="preserve"> </w:t>
      </w: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rPr>
            </w:pPr>
            <w:r>
              <w:rPr>
                <w:rFonts w:hint="eastAsia" w:hAnsi="宋体"/>
                <w:color w:val="000000" w:themeColor="text1"/>
                <w:sz w:val="24"/>
                <w:szCs w:val="24"/>
              </w:rPr>
              <w:t>商品名称</w:t>
            </w:r>
          </w:p>
        </w:tc>
        <w:tc>
          <w:tcPr>
            <w:tcW w:w="2127" w:type="dxa"/>
            <w:vAlign w:val="center"/>
          </w:tcPr>
          <w:p>
            <w:pPr>
              <w:pStyle w:val="7"/>
              <w:snapToGrid w:val="0"/>
              <w:spacing w:line="360" w:lineRule="auto"/>
              <w:jc w:val="both"/>
              <w:rPr>
                <w:rFonts w:hAnsi="宋体"/>
                <w:color w:val="000000" w:themeColor="text1"/>
                <w:sz w:val="24"/>
                <w:szCs w:val="24"/>
              </w:rPr>
            </w:pPr>
            <w:r>
              <w:rPr>
                <w:rFonts w:hint="eastAsia" w:hAnsi="宋体"/>
                <w:color w:val="000000" w:themeColor="text1"/>
                <w:sz w:val="24"/>
                <w:szCs w:val="24"/>
              </w:rPr>
              <w:t>规格型号及配置</w:t>
            </w:r>
          </w:p>
        </w:tc>
        <w:tc>
          <w:tcPr>
            <w:tcW w:w="992"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生产</w:t>
            </w:r>
          </w:p>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产家</w:t>
            </w:r>
          </w:p>
        </w:tc>
        <w:tc>
          <w:tcPr>
            <w:tcW w:w="709" w:type="dxa"/>
            <w:vAlign w:val="center"/>
          </w:tcPr>
          <w:p>
            <w:pPr>
              <w:pStyle w:val="7"/>
              <w:snapToGrid w:val="0"/>
              <w:spacing w:line="360" w:lineRule="auto"/>
              <w:ind w:left="-108"/>
              <w:jc w:val="center"/>
              <w:rPr>
                <w:rFonts w:hAnsi="宋体"/>
                <w:color w:val="000000" w:themeColor="text1"/>
                <w:sz w:val="24"/>
                <w:szCs w:val="24"/>
              </w:rPr>
            </w:pPr>
            <w:r>
              <w:rPr>
                <w:rFonts w:hint="eastAsia" w:hAnsi="宋体"/>
                <w:color w:val="000000" w:themeColor="text1"/>
                <w:sz w:val="24"/>
                <w:szCs w:val="24"/>
              </w:rPr>
              <w:t>数量</w:t>
            </w:r>
          </w:p>
        </w:tc>
        <w:tc>
          <w:tcPr>
            <w:tcW w:w="850"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单位</w:t>
            </w:r>
          </w:p>
        </w:tc>
        <w:tc>
          <w:tcPr>
            <w:tcW w:w="992"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单价</w:t>
            </w:r>
          </w:p>
        </w:tc>
        <w:tc>
          <w:tcPr>
            <w:tcW w:w="1024"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rPr>
            </w:pPr>
            <w:r>
              <w:rPr>
                <w:rFonts w:hint="eastAsia" w:hAnsi="宋体"/>
                <w:color w:val="000000" w:themeColor="text1"/>
                <w:sz w:val="24"/>
                <w:szCs w:val="24"/>
              </w:rPr>
              <w:t>合</w:t>
            </w:r>
            <w:r>
              <w:rPr>
                <w:rFonts w:hAnsi="宋体"/>
                <w:color w:val="000000" w:themeColor="text1"/>
                <w:sz w:val="24"/>
                <w:szCs w:val="24"/>
              </w:rPr>
              <w:t xml:space="preserve">   </w:t>
            </w:r>
            <w:r>
              <w:rPr>
                <w:rFonts w:hint="eastAsia" w:hAnsi="宋体"/>
                <w:color w:val="000000" w:themeColor="text1"/>
                <w:sz w:val="24"/>
                <w:szCs w:val="24"/>
              </w:rPr>
              <w:t>计</w:t>
            </w:r>
          </w:p>
        </w:tc>
        <w:tc>
          <w:tcPr>
            <w:tcW w:w="709" w:type="dxa"/>
            <w:vAlign w:val="center"/>
          </w:tcPr>
          <w:p>
            <w:pPr>
              <w:pStyle w:val="7"/>
              <w:snapToGrid w:val="0"/>
              <w:spacing w:line="360" w:lineRule="auto"/>
              <w:rPr>
                <w:rFonts w:hAnsi="宋体"/>
                <w:color w:val="000000" w:themeColor="text1"/>
                <w:sz w:val="24"/>
                <w:szCs w:val="24"/>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rPr>
            </w:pPr>
            <w:r>
              <w:rPr>
                <w:rFonts w:hint="eastAsia" w:hAnsi="宋体"/>
                <w:color w:val="000000" w:themeColor="text1"/>
                <w:sz w:val="24"/>
                <w:szCs w:val="24"/>
              </w:rPr>
              <w:t xml:space="preserve">合同总价：（人民币）                 </w:t>
            </w:r>
            <w:r>
              <w:rPr>
                <w:rFonts w:hAnsi="宋体"/>
                <w:color w:val="000000" w:themeColor="text1"/>
                <w:sz w:val="24"/>
                <w:szCs w:val="24"/>
              </w:rPr>
              <w:t xml:space="preserve">    </w:t>
            </w:r>
            <w:r>
              <w:rPr>
                <w:rFonts w:hint="eastAsia" w:hAnsi="宋体"/>
                <w:color w:val="000000" w:themeColor="text1"/>
                <w:sz w:val="24"/>
                <w:szCs w:val="24"/>
              </w:rPr>
              <w:t>￥：</w:t>
            </w:r>
          </w:p>
        </w:tc>
      </w:tr>
    </w:tbl>
    <w:p>
      <w:pPr>
        <w:pStyle w:val="7"/>
        <w:snapToGrid w:val="0"/>
        <w:spacing w:line="360" w:lineRule="auto"/>
        <w:ind w:left="-34" w:leftChars="-85" w:hanging="144" w:hangingChars="60"/>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注：（</w:t>
      </w:r>
      <w:r>
        <w:rPr>
          <w:rFonts w:hAnsi="宋体"/>
          <w:color w:val="000000" w:themeColor="text1"/>
          <w:sz w:val="24"/>
        </w:rPr>
        <w:t>1</w:t>
      </w:r>
      <w:r>
        <w:rPr>
          <w:rFonts w:hint="eastAsia" w:hAnsi="宋体"/>
          <w:color w:val="000000" w:themeColor="text1"/>
          <w:sz w:val="24"/>
        </w:rPr>
        <w:t>）商品型号、数量、配置具体要求及使用单位地址等详见附件清单；</w:t>
      </w:r>
    </w:p>
    <w:p>
      <w:pPr>
        <w:spacing w:line="360" w:lineRule="auto"/>
        <w:ind w:firstLine="384" w:firstLineChars="16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）以上合同总价包括运费及安装调试费等。</w:t>
      </w:r>
    </w:p>
    <w:p>
      <w:pPr>
        <w:pStyle w:val="11"/>
        <w:widowControl w:val="0"/>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二、产品条款</w:t>
      </w:r>
    </w:p>
    <w:p>
      <w:pPr>
        <w:pStyle w:val="11"/>
        <w:widowControl w:val="0"/>
        <w:spacing w:before="0" w:beforeAutospacing="0" w:after="0" w:afterAutospacing="0" w:line="360" w:lineRule="auto"/>
        <w:ind w:firstLine="480" w:firstLineChars="200"/>
        <w:rPr>
          <w:color w:val="000000" w:themeColor="text1"/>
          <w:kern w:val="2"/>
        </w:rPr>
      </w:pPr>
      <w:r>
        <w:rPr>
          <w:rFonts w:hint="eastAsia"/>
          <w:color w:val="000000" w:themeColor="text1"/>
          <w:kern w:val="2"/>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themeColor="text1"/>
          <w:kern w:val="2"/>
        </w:rPr>
      </w:pPr>
      <w:r>
        <w:rPr>
          <w:rFonts w:hint="eastAsia"/>
          <w:b/>
          <w:color w:val="000000" w:themeColor="text1"/>
          <w:kern w:val="2"/>
        </w:rPr>
        <w:t>三、通知送达条款</w:t>
      </w:r>
    </w:p>
    <w:p>
      <w:pPr>
        <w:pStyle w:val="11"/>
        <w:spacing w:before="0" w:beforeAutospacing="0" w:after="0" w:afterAutospacing="0" w:line="360" w:lineRule="auto"/>
        <w:ind w:firstLine="480" w:firstLineChars="200"/>
        <w:rPr>
          <w:color w:val="000000" w:themeColor="text1"/>
          <w:kern w:val="2"/>
        </w:rPr>
      </w:pPr>
      <w:r>
        <w:rPr>
          <w:color w:val="000000" w:themeColor="text1"/>
          <w:kern w:val="2"/>
        </w:rPr>
        <w:t>1.</w:t>
      </w:r>
      <w:r>
        <w:rPr>
          <w:rFonts w:hint="eastAsia"/>
          <w:color w:val="000000" w:themeColor="text1"/>
          <w:kern w:val="2"/>
        </w:rPr>
        <w:t>甲方通知送达地址：浙江省衢州市柯城区九华北大道</w:t>
      </w:r>
      <w:r>
        <w:rPr>
          <w:color w:val="000000" w:themeColor="text1"/>
          <w:kern w:val="2"/>
        </w:rPr>
        <w:t>78</w:t>
      </w:r>
      <w:r>
        <w:rPr>
          <w:rFonts w:hint="eastAsia"/>
          <w:color w:val="000000" w:themeColor="text1"/>
          <w:kern w:val="2"/>
        </w:rPr>
        <w:t>号。</w:t>
      </w:r>
    </w:p>
    <w:p>
      <w:pPr>
        <w:pStyle w:val="11"/>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color w:val="000000" w:themeColor="text1"/>
          <w:kern w:val="2"/>
          <w:u w:val="single"/>
        </w:rPr>
        <w:t xml:space="preserve">  </w:t>
      </w:r>
      <w:r>
        <w:rPr>
          <w:rFonts w:hint="eastAsia"/>
          <w:color w:val="000000" w:themeColor="text1"/>
          <w:kern w:val="2"/>
          <w:u w:val="single"/>
        </w:rPr>
        <w:t xml:space="preserve">      </w:t>
      </w:r>
      <w:r>
        <w:rPr>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1"/>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乙方通知送达地址：</w:t>
      </w:r>
      <w:r>
        <w:rPr>
          <w:rFonts w:hint="eastAsia"/>
          <w:color w:val="000000" w:themeColor="text1"/>
          <w:kern w:val="2"/>
          <w:u w:val="single"/>
        </w:rPr>
        <w:t xml:space="preserve">                                     </w:t>
      </w:r>
      <w:r>
        <w:rPr>
          <w:rFonts w:hint="eastAsia"/>
          <w:color w:val="000000" w:themeColor="text1"/>
          <w:kern w:val="2"/>
        </w:rPr>
        <w:t>。</w:t>
      </w:r>
    </w:p>
    <w:p>
      <w:pPr>
        <w:pStyle w:val="11"/>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1"/>
        <w:spacing w:before="0" w:beforeAutospacing="0" w:after="0" w:afterAutospacing="0" w:line="360" w:lineRule="auto"/>
        <w:ind w:firstLine="480" w:firstLineChars="200"/>
        <w:jc w:val="both"/>
        <w:rPr>
          <w:color w:val="000000" w:themeColor="text1"/>
          <w:kern w:val="2"/>
        </w:rPr>
      </w:pPr>
      <w:r>
        <w:rPr>
          <w:color w:val="000000" w:themeColor="text1"/>
          <w:kern w:val="2"/>
        </w:rPr>
        <w:t>3.</w:t>
      </w:r>
      <w:r>
        <w:rPr>
          <w:rFonts w:hint="eastAsia"/>
          <w:color w:val="000000" w:themeColor="text1"/>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四、质量保证</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乙方提供对产品的质量保证期为现场安装验收合格之后</w:t>
      </w:r>
      <w:r>
        <w:rPr>
          <w:rFonts w:hint="eastAsia" w:hAnsi="宋体"/>
          <w:b/>
          <w:bCs/>
          <w:color w:val="000000" w:themeColor="text1"/>
          <w:sz w:val="24"/>
          <w:szCs w:val="24"/>
        </w:rPr>
        <w:t>12个月</w:t>
      </w:r>
      <w:r>
        <w:rPr>
          <w:rFonts w:hint="eastAsia" w:hAnsi="宋体"/>
          <w:color w:val="000000" w:themeColor="text1"/>
          <w:sz w:val="24"/>
          <w:szCs w:val="24"/>
        </w:rPr>
        <w:t>。如因甲方原因导致不能及时安装的，产品的质保期自运行验收通过之日起</w:t>
      </w:r>
      <w:r>
        <w:rPr>
          <w:rFonts w:hAnsi="宋体"/>
          <w:color w:val="000000" w:themeColor="text1"/>
          <w:sz w:val="24"/>
          <w:szCs w:val="24"/>
        </w:rPr>
        <w:t xml:space="preserve"> 1 </w:t>
      </w:r>
      <w:r>
        <w:rPr>
          <w:rFonts w:hint="eastAsia" w:hAnsi="宋体"/>
          <w:color w:val="000000" w:themeColor="text1"/>
          <w:sz w:val="24"/>
          <w:szCs w:val="24"/>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五、验收</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到货验收：乙方将所提供的产品全部运至甲方指定的交货地点，且在甲方收到乙方提供的到货通知后</w:t>
      </w:r>
      <w:r>
        <w:rPr>
          <w:rFonts w:hAnsi="宋体"/>
          <w:color w:val="000000" w:themeColor="text1"/>
          <w:sz w:val="24"/>
          <w:szCs w:val="24"/>
        </w:rPr>
        <w:t>5</w:t>
      </w:r>
      <w:r>
        <w:rPr>
          <w:rFonts w:hint="eastAsia" w:hAnsi="宋体"/>
          <w:color w:val="000000" w:themeColor="text1"/>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安装验收：产品经到货验收通过且由乙方进行安装调试完毕后，由乙方协助甲方完成安装试运行验收。产品经安装验收合格次日起</w:t>
      </w:r>
      <w:r>
        <w:rPr>
          <w:rFonts w:hAnsi="宋体"/>
          <w:color w:val="000000" w:themeColor="text1"/>
          <w:sz w:val="24"/>
          <w:szCs w:val="24"/>
        </w:rPr>
        <w:t>7</w:t>
      </w:r>
      <w:r>
        <w:rPr>
          <w:rFonts w:hint="eastAsia" w:hAnsi="宋体"/>
          <w:color w:val="000000" w:themeColor="text1"/>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六、交付时间及地点</w:t>
      </w:r>
    </w:p>
    <w:p>
      <w:pPr>
        <w:pStyle w:val="6"/>
        <w:tabs>
          <w:tab w:val="left" w:pos="297"/>
        </w:tabs>
        <w:spacing w:after="0" w:line="360" w:lineRule="auto"/>
        <w:ind w:left="0" w:leftChars="0" w:firstLine="480" w:firstLineChars="200"/>
        <w:rPr>
          <w:rFonts w:ascii="宋体"/>
          <w:color w:val="000000" w:themeColor="text1"/>
          <w:sz w:val="24"/>
        </w:rPr>
      </w:pPr>
      <w:r>
        <w:rPr>
          <w:rFonts w:ascii="宋体" w:hAnsi="宋体"/>
          <w:color w:val="000000" w:themeColor="text1"/>
          <w:sz w:val="24"/>
        </w:rPr>
        <w:t>1.</w:t>
      </w:r>
      <w:r>
        <w:rPr>
          <w:rFonts w:hint="eastAsia" w:ascii="宋体" w:hAnsi="宋体"/>
          <w:color w:val="000000" w:themeColor="text1"/>
          <w:kern w:val="0"/>
          <w:sz w:val="24"/>
        </w:rPr>
        <w:t>合同签订后</w:t>
      </w:r>
      <w:r>
        <w:rPr>
          <w:rFonts w:hint="eastAsia" w:ascii="宋体" w:hAnsi="宋体"/>
          <w:b/>
          <w:bCs/>
          <w:color w:val="FF0000"/>
          <w:kern w:val="0"/>
          <w:sz w:val="24"/>
        </w:rPr>
        <w:t>120天</w:t>
      </w:r>
      <w:r>
        <w:rPr>
          <w:rFonts w:hint="eastAsia" w:ascii="宋体" w:hAnsi="宋体"/>
          <w:color w:val="000000" w:themeColor="text1"/>
          <w:kern w:val="0"/>
          <w:sz w:val="24"/>
        </w:rPr>
        <w:t>内完成供货、线路、设备安施和调试，交付采购方使用。</w:t>
      </w:r>
    </w:p>
    <w:p>
      <w:pPr>
        <w:spacing w:line="360" w:lineRule="auto"/>
        <w:ind w:firstLine="480" w:firstLineChars="200"/>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rPr>
      </w:pPr>
      <w:r>
        <w:rPr>
          <w:rFonts w:hint="eastAsia" w:ascii="宋体" w:hAnsi="宋体"/>
          <w:b/>
          <w:color w:val="000000" w:themeColor="text1"/>
          <w:sz w:val="24"/>
        </w:rPr>
        <w:t>七、付款方式</w:t>
      </w:r>
    </w:p>
    <w:p>
      <w:pPr>
        <w:spacing w:line="360" w:lineRule="auto"/>
        <w:ind w:firstLine="480" w:firstLineChars="200"/>
        <w:jc w:val="left"/>
        <w:rPr>
          <w:rFonts w:hint="eastAsia" w:ascii="宋体" w:hAnsi="宋体"/>
          <w:color w:val="FF0000"/>
          <w:sz w:val="24"/>
          <w:highlight w:val="yellow"/>
        </w:rPr>
      </w:pPr>
      <w:r>
        <w:rPr>
          <w:rFonts w:hint="eastAsia" w:ascii="宋体" w:hAnsi="宋体"/>
          <w:color w:val="FF0000"/>
          <w:sz w:val="24"/>
          <w:highlight w:val="yellow"/>
        </w:rPr>
        <w:t>1.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2.由乙方开具正规的增值税专用发票。</w:t>
      </w:r>
    </w:p>
    <w:p>
      <w:pPr>
        <w:spacing w:line="360" w:lineRule="auto"/>
        <w:ind w:firstLine="720" w:firstLineChars="300"/>
        <w:rPr>
          <w:rFonts w:ascii="宋体"/>
          <w:color w:val="000000" w:themeColor="text1"/>
          <w:sz w:val="24"/>
        </w:rPr>
      </w:pPr>
      <w:r>
        <w:rPr>
          <w:rFonts w:hint="eastAsia" w:ascii="宋体" w:hAnsi="宋体"/>
          <w:color w:val="000000" w:themeColor="text1"/>
          <w:sz w:val="24"/>
        </w:rPr>
        <w:t>乙方银行账户信息：</w:t>
      </w:r>
    </w:p>
    <w:p>
      <w:pPr>
        <w:spacing w:line="360" w:lineRule="auto"/>
        <w:ind w:firstLine="480" w:firstLineChars="200"/>
        <w:rPr>
          <w:rFonts w:ascii="宋体" w:hAns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开户银行：</w:t>
      </w:r>
      <w:r>
        <w:rPr>
          <w:rFonts w:ascii="宋体" w:hAnsi="宋体"/>
          <w:color w:val="000000" w:themeColor="text1"/>
          <w:sz w:val="24"/>
        </w:rPr>
        <w:t xml:space="preserve">  </w:t>
      </w:r>
    </w:p>
    <w:p>
      <w:pPr>
        <w:spacing w:line="360" w:lineRule="auto"/>
        <w:ind w:firstLine="720" w:firstLineChars="300"/>
        <w:rPr>
          <w:rFonts w:ascii="宋体"/>
          <w:color w:val="000000" w:themeColor="text1"/>
          <w:sz w:val="24"/>
        </w:rPr>
      </w:pPr>
      <w:r>
        <w:rPr>
          <w:rFonts w:hint="eastAsia" w:ascii="宋体" w:hAnsi="宋体"/>
          <w:color w:val="000000" w:themeColor="text1"/>
          <w:sz w:val="24"/>
        </w:rPr>
        <w:t>户</w:t>
      </w:r>
      <w:r>
        <w:rPr>
          <w:rFonts w:ascii="宋体" w:hAnsi="宋体"/>
          <w:color w:val="000000" w:themeColor="text1"/>
          <w:sz w:val="24"/>
        </w:rPr>
        <w:t xml:space="preserve">    </w:t>
      </w:r>
      <w:r>
        <w:rPr>
          <w:rFonts w:hint="eastAsia" w:ascii="宋体" w:hAnsi="宋体"/>
          <w:color w:val="000000" w:themeColor="text1"/>
          <w:sz w:val="24"/>
        </w:rPr>
        <w:t>名：</w:t>
      </w:r>
    </w:p>
    <w:p>
      <w:pPr>
        <w:spacing w:line="360" w:lineRule="auto"/>
        <w:ind w:firstLine="480" w:firstLineChars="200"/>
        <w:rPr>
          <w:rFonts w:asci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银行账号：</w:t>
      </w:r>
    </w:p>
    <w:p>
      <w:pPr>
        <w:pStyle w:val="11"/>
        <w:tabs>
          <w:tab w:val="right" w:pos="8312"/>
        </w:tabs>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八、违约责任</w:t>
      </w:r>
      <w:r>
        <w:rPr>
          <w:b/>
          <w:color w:val="000000" w:themeColor="text1"/>
          <w:kern w:val="2"/>
        </w:rPr>
        <w:tab/>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乙方逾期履行合同包括逾期交货，逾期安装验收，逾期提供售后服务的，自逾期之日起，向甲方每日偿付合同总价千分之二的滞纳金；乙方逾期</w:t>
      </w:r>
      <w:r>
        <w:rPr>
          <w:rFonts w:hAnsi="宋体"/>
          <w:color w:val="000000" w:themeColor="text1"/>
          <w:sz w:val="24"/>
          <w:szCs w:val="24"/>
        </w:rPr>
        <w:t>30</w:t>
      </w:r>
      <w:r>
        <w:rPr>
          <w:rFonts w:hint="eastAsia" w:hAnsi="宋体"/>
          <w:color w:val="000000" w:themeColor="text1"/>
          <w:sz w:val="24"/>
          <w:szCs w:val="24"/>
        </w:rPr>
        <w:t>日不能交货的，甲方没收履约保证金，同时有权解除合同。</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因甲方原因逾期支付货款的，自逾期之日起，向乙方每日偿付合同总价千分之二的滞纳金；甲方无正当理由拒付货款达</w:t>
      </w:r>
      <w:r>
        <w:rPr>
          <w:rFonts w:hAnsi="宋体"/>
          <w:color w:val="000000" w:themeColor="text1"/>
          <w:sz w:val="24"/>
          <w:szCs w:val="24"/>
        </w:rPr>
        <w:t>30</w:t>
      </w:r>
      <w:r>
        <w:rPr>
          <w:rFonts w:hint="eastAsia" w:hAnsi="宋体"/>
          <w:color w:val="000000" w:themeColor="text1"/>
          <w:sz w:val="24"/>
          <w:szCs w:val="24"/>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rPr>
      </w:pPr>
      <w:r>
        <w:rPr>
          <w:rFonts w:hint="eastAsia" w:hAnsi="宋体"/>
          <w:b/>
          <w:color w:val="000000" w:themeColor="text1"/>
          <w:sz w:val="24"/>
        </w:rPr>
        <w:t>九、不可抗力事件处理</w:t>
      </w:r>
    </w:p>
    <w:p>
      <w:pPr>
        <w:pStyle w:val="7"/>
        <w:snapToGrid w:val="0"/>
        <w:spacing w:line="360" w:lineRule="auto"/>
        <w:ind w:firstLine="480" w:firstLineChars="200"/>
        <w:jc w:val="both"/>
        <w:rPr>
          <w:rFonts w:hAnsi="宋体"/>
          <w:color w:val="000000" w:themeColor="text1"/>
          <w:sz w:val="24"/>
        </w:rPr>
      </w:pPr>
      <w:r>
        <w:rPr>
          <w:rFonts w:hAnsi="宋体"/>
          <w:color w:val="000000" w:themeColor="text1"/>
          <w:sz w:val="24"/>
        </w:rPr>
        <w:t>1.</w:t>
      </w:r>
      <w:r>
        <w:rPr>
          <w:rFonts w:hint="eastAsia" w:hAnsi="宋体"/>
          <w:color w:val="000000" w:themeColor="text1"/>
          <w:sz w:val="24"/>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rPr>
      </w:pPr>
      <w:r>
        <w:rPr>
          <w:rFonts w:hAnsi="宋体"/>
          <w:color w:val="000000" w:themeColor="text1"/>
          <w:sz w:val="24"/>
        </w:rPr>
        <w:t>2.</w:t>
      </w:r>
      <w:r>
        <w:rPr>
          <w:rFonts w:hint="eastAsia" w:hAnsi="宋体"/>
          <w:color w:val="000000" w:themeColor="text1"/>
          <w:sz w:val="24"/>
        </w:rPr>
        <w:t>不可抗力事件发生后，应立即通知对方，并寄送有关权威机构出具的证明。</w:t>
      </w:r>
      <w:r>
        <w:rPr>
          <w:rFonts w:hAnsi="宋体"/>
          <w:color w:val="000000" w:themeColor="text1"/>
          <w:sz w:val="24"/>
        </w:rPr>
        <w:t xml:space="preserve"> </w:t>
      </w:r>
    </w:p>
    <w:p>
      <w:pPr>
        <w:pStyle w:val="7"/>
        <w:snapToGrid w:val="0"/>
        <w:spacing w:line="360" w:lineRule="auto"/>
        <w:ind w:firstLine="480" w:firstLineChars="200"/>
        <w:jc w:val="both"/>
        <w:rPr>
          <w:rFonts w:hAnsi="宋体"/>
          <w:color w:val="000000" w:themeColor="text1"/>
          <w:sz w:val="24"/>
        </w:rPr>
      </w:pPr>
      <w:r>
        <w:rPr>
          <w:rFonts w:hAnsi="宋体"/>
          <w:color w:val="000000" w:themeColor="text1"/>
          <w:sz w:val="24"/>
        </w:rPr>
        <w:t>3.</w:t>
      </w:r>
      <w:r>
        <w:rPr>
          <w:rFonts w:hint="eastAsia" w:hAnsi="宋体"/>
          <w:color w:val="000000" w:themeColor="text1"/>
          <w:sz w:val="24"/>
        </w:rPr>
        <w:t>不可抗力事件延续</w:t>
      </w:r>
      <w:r>
        <w:rPr>
          <w:rFonts w:hAnsi="宋体"/>
          <w:color w:val="000000" w:themeColor="text1"/>
          <w:sz w:val="24"/>
        </w:rPr>
        <w:t>60</w:t>
      </w:r>
      <w:r>
        <w:rPr>
          <w:rFonts w:hint="eastAsia" w:hAnsi="宋体"/>
          <w:color w:val="000000" w:themeColor="text1"/>
          <w:sz w:val="24"/>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rPr>
      </w:pPr>
      <w:r>
        <w:rPr>
          <w:rFonts w:hint="eastAsia" w:hAnsi="宋体"/>
          <w:b/>
          <w:color w:val="000000" w:themeColor="text1"/>
          <w:sz w:val="24"/>
        </w:rPr>
        <w:t>十、争议的解决</w:t>
      </w:r>
    </w:p>
    <w:p>
      <w:pPr>
        <w:pStyle w:val="16"/>
        <w:snapToGrid w:val="0"/>
        <w:spacing w:line="360" w:lineRule="auto"/>
        <w:ind w:firstLine="480" w:firstLineChars="200"/>
        <w:jc w:val="both"/>
        <w:rPr>
          <w:rFonts w:hAnsi="宋体"/>
          <w:color w:val="000000" w:themeColor="text1"/>
          <w:sz w:val="24"/>
          <w:szCs w:val="22"/>
        </w:rPr>
      </w:pPr>
      <w:r>
        <w:rPr>
          <w:rFonts w:hint="eastAsia" w:hAnsi="宋体"/>
          <w:color w:val="000000" w:themeColor="text1"/>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rPr>
      </w:pPr>
      <w:r>
        <w:rPr>
          <w:rFonts w:hint="eastAsia" w:ascii="宋体" w:hAnsi="宋体"/>
          <w:color w:val="000000" w:themeColor="text1"/>
          <w:sz w:val="24"/>
          <w:szCs w:val="22"/>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7"/>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本次采购项目预算：95</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w:t>
            </w:r>
            <w:r>
              <w:rPr>
                <w:rFonts w:hint="eastAsia" w:ascii="宋体" w:hAnsi="宋体" w:cs="宋体"/>
                <w:color w:val="000000"/>
                <w:szCs w:val="21"/>
                <w:lang w:val="en-US" w:eastAsia="zh-CN"/>
              </w:rPr>
              <w:t>9</w:t>
            </w:r>
            <w:r>
              <w:rPr>
                <w:rFonts w:hint="eastAsia" w:ascii="宋体" w:hAnsi="宋体" w:cs="宋体"/>
                <w:color w:val="000000"/>
                <w:szCs w:val="21"/>
              </w:rPr>
              <w:t>年1月1日以来至今（以合同签订时间为准）同类项目成功实施案例：每提供一个有效合同原件的扫描件得1.5分，最高得3分。（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18"/>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19"/>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19（第二次）</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b/>
          <w:bCs/>
          <w:color w:val="000000"/>
          <w:spacing w:val="20"/>
          <w:sz w:val="32"/>
          <w:szCs w:val="32"/>
        </w:rPr>
        <w:t>冷等静压机</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left="280" w:hanging="280" w:hangingChars="100"/>
        <w:textAlignment w:val="auto"/>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keepNext w:val="0"/>
        <w:keepLines w:val="0"/>
        <w:pageBreakBefore w:val="0"/>
        <w:widowControl w:val="0"/>
        <w:kinsoku/>
        <w:wordWrap/>
        <w:overflowPunct/>
        <w:topLinePunct w:val="0"/>
        <w:autoSpaceDE w:val="0"/>
        <w:autoSpaceDN w:val="0"/>
        <w:bidi w:val="0"/>
        <w:adjustRightInd w:val="0"/>
        <w:spacing w:line="360" w:lineRule="auto"/>
        <w:ind w:left="280" w:hanging="280" w:hangingChars="100"/>
        <w:textAlignment w:val="auto"/>
        <w:rPr>
          <w:color w:val="000000"/>
          <w:sz w:val="28"/>
          <w:szCs w:val="28"/>
          <w:lang w:val="zh-CN"/>
        </w:rPr>
      </w:pPr>
      <w:r>
        <w:rPr>
          <w:color w:val="000000"/>
          <w:sz w:val="28"/>
          <w:szCs w:val="28"/>
          <w:u w:val="single"/>
          <w:lang w:val="zh-CN"/>
        </w:rPr>
        <w:t xml:space="preserve">         （全名、职务）</w:t>
      </w:r>
      <w:r>
        <w:rPr>
          <w:color w:val="000000"/>
          <w:sz w:val="28"/>
          <w:szCs w:val="28"/>
          <w:lang w:val="zh-CN"/>
        </w:rPr>
        <w:t>为全权代表，参加贵方组织</w:t>
      </w:r>
      <w:r>
        <w:rPr>
          <w:b/>
          <w:bCs/>
          <w:color w:val="000000"/>
          <w:sz w:val="28"/>
          <w:szCs w:val="28"/>
          <w:u w:val="single"/>
        </w:rPr>
        <w:t>冷等静压机</w:t>
      </w:r>
      <w:r>
        <w:rPr>
          <w:color w:val="000000"/>
          <w:sz w:val="28"/>
          <w:szCs w:val="28"/>
          <w:lang w:val="zh-CN"/>
        </w:rPr>
        <w:t>（项</w:t>
      </w:r>
    </w:p>
    <w:p>
      <w:pPr>
        <w:keepNext w:val="0"/>
        <w:keepLines w:val="0"/>
        <w:pageBreakBefore w:val="0"/>
        <w:widowControl w:val="0"/>
        <w:kinsoku/>
        <w:wordWrap/>
        <w:overflowPunct/>
        <w:topLinePunct w:val="0"/>
        <w:bidi w:val="0"/>
        <w:snapToGrid w:val="0"/>
        <w:spacing w:line="360" w:lineRule="auto"/>
        <w:textAlignment w:val="auto"/>
        <w:rPr>
          <w:color w:val="000000"/>
          <w:sz w:val="28"/>
          <w:szCs w:val="28"/>
          <w:u w:val="single"/>
          <w:lang w:val="zh-CN"/>
        </w:rPr>
      </w:pPr>
      <w:r>
        <w:rPr>
          <w:color w:val="000000"/>
          <w:sz w:val="28"/>
          <w:szCs w:val="28"/>
          <w:lang w:val="zh-CN"/>
        </w:rPr>
        <w:t>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19</w:t>
      </w:r>
      <w:r>
        <w:rPr>
          <w:rFonts w:hint="eastAsia"/>
          <w:b/>
          <w:color w:val="000000"/>
          <w:sz w:val="32"/>
          <w:szCs w:val="32"/>
          <w:u w:val="single"/>
          <w:lang w:val="en-US" w:eastAsia="zh-CN"/>
        </w:rPr>
        <w:t>（第二次）</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b/>
          <w:bCs/>
          <w:color w:val="000000"/>
          <w:sz w:val="28"/>
          <w:szCs w:val="28"/>
          <w:u w:val="single"/>
        </w:rPr>
        <w:t>冷等静压机</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19（第二次）</w:t>
      </w:r>
      <w:r>
        <w:rPr>
          <w:color w:val="000000"/>
          <w:sz w:val="28"/>
          <w:szCs w:val="28"/>
          <w:lang w:val="zh-CN"/>
        </w:rPr>
        <w:t>）招标，</w:t>
      </w:r>
      <w:r>
        <w:rPr>
          <w:sz w:val="28"/>
          <w:szCs w:val="28"/>
          <w:lang w:val="zh-CN"/>
        </w:rPr>
        <w:t>并全权处理采购活动中的一切事宜。</w:t>
      </w:r>
    </w:p>
    <w:p>
      <w:pPr>
        <w:snapToGrid w:val="0"/>
        <w:spacing w:line="360" w:lineRule="auto"/>
        <w:rPr>
          <w:rFonts w:ascii="Times New Roman" w:hAnsi="Times New Roman" w:eastAsia="宋体" w:cs="Times New Roman"/>
          <w:sz w:val="28"/>
          <w:szCs w:val="28"/>
          <w:lang w:val="zh-CN"/>
        </w:rPr>
      </w:pPr>
      <w:r>
        <w:rPr>
          <w:sz w:val="28"/>
          <w:szCs w:val="28"/>
          <w:lang w:val="zh-CN"/>
        </w:rPr>
        <w:t xml:space="preserve">    在撤销授权的书面通知以前，本授权书一直有效。全权代表在授</w:t>
      </w:r>
      <w:r>
        <w:rPr>
          <w:rFonts w:ascii="Times New Roman" w:hAnsi="Times New Roman" w:eastAsia="宋体" w:cs="Times New Roman"/>
          <w:sz w:val="28"/>
          <w:szCs w:val="28"/>
          <w:lang w:val="zh-CN"/>
        </w:rPr>
        <w:t>权书有效期内签署的所有文件不因授权的撤销而失效。</w:t>
      </w:r>
    </w:p>
    <w:p>
      <w:pPr>
        <w:snapToGrid w:val="0"/>
        <w:spacing w:line="360" w:lineRule="auto"/>
        <w:ind w:firstLine="560" w:firstLineChars="200"/>
        <w:rPr>
          <w:rFonts w:ascii="Times New Roman" w:hAnsi="Times New Roman" w:eastAsia="宋体" w:cs="Times New Roman"/>
          <w:sz w:val="28"/>
          <w:szCs w:val="28"/>
          <w:lang w:val="zh-CN"/>
        </w:rPr>
      </w:pPr>
      <w:r>
        <w:rPr>
          <w:rFonts w:ascii="Times New Roman" w:hAnsi="Times New Roman" w:eastAsia="宋体" w:cs="Times New Roman"/>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19（第二次）</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ascii="宋体" w:hAnsi="宋体" w:cs="宋体"/>
          <w:b/>
          <w:color w:val="000000"/>
          <w:sz w:val="32"/>
          <w:szCs w:val="32"/>
        </w:rPr>
        <w:t>冷等静压机</w:t>
      </w:r>
    </w:p>
    <w:tbl>
      <w:tblPr>
        <w:tblStyle w:val="12"/>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19（第二次）</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ascii="宋体" w:hAnsi="宋体" w:cs="宋体"/>
          <w:b/>
          <w:color w:val="000000"/>
          <w:sz w:val="32"/>
          <w:szCs w:val="32"/>
        </w:rPr>
        <w:t>冷等静压机</w:t>
      </w:r>
    </w:p>
    <w:p>
      <w:pPr>
        <w:spacing w:line="480" w:lineRule="exact"/>
        <w:ind w:left="480"/>
        <w:rPr>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color w:val="000000"/>
                <w:sz w:val="28"/>
                <w:szCs w:val="28"/>
              </w:rPr>
            </w:pPr>
            <w:r>
              <w:rPr>
                <w:color w:val="000000"/>
                <w:sz w:val="28"/>
                <w:szCs w:val="28"/>
              </w:rPr>
              <w:t>序号</w:t>
            </w:r>
          </w:p>
        </w:tc>
        <w:tc>
          <w:tcPr>
            <w:tcW w:w="1260" w:type="dxa"/>
            <w:vAlign w:val="center"/>
          </w:tcPr>
          <w:p>
            <w:pPr>
              <w:pStyle w:val="5"/>
              <w:spacing w:line="400" w:lineRule="exact"/>
              <w:ind w:firstLine="0"/>
              <w:jc w:val="center"/>
              <w:rPr>
                <w:color w:val="000000"/>
                <w:sz w:val="28"/>
                <w:szCs w:val="28"/>
              </w:rPr>
            </w:pPr>
            <w:r>
              <w:rPr>
                <w:color w:val="000000"/>
                <w:sz w:val="28"/>
                <w:szCs w:val="28"/>
              </w:rPr>
              <w:t>货物</w:t>
            </w:r>
          </w:p>
          <w:p>
            <w:pPr>
              <w:pStyle w:val="5"/>
              <w:spacing w:line="400" w:lineRule="exact"/>
              <w:ind w:firstLine="0"/>
              <w:jc w:val="center"/>
              <w:rPr>
                <w:color w:val="000000"/>
                <w:sz w:val="28"/>
                <w:szCs w:val="28"/>
              </w:rPr>
            </w:pPr>
            <w:r>
              <w:rPr>
                <w:color w:val="000000"/>
                <w:sz w:val="28"/>
                <w:szCs w:val="28"/>
              </w:rPr>
              <w:t>名称</w:t>
            </w:r>
          </w:p>
        </w:tc>
        <w:tc>
          <w:tcPr>
            <w:tcW w:w="540" w:type="dxa"/>
            <w:vAlign w:val="center"/>
          </w:tcPr>
          <w:p>
            <w:pPr>
              <w:pStyle w:val="5"/>
              <w:spacing w:line="400" w:lineRule="exact"/>
              <w:ind w:firstLine="0"/>
              <w:jc w:val="center"/>
              <w:rPr>
                <w:color w:val="000000"/>
                <w:sz w:val="28"/>
                <w:szCs w:val="28"/>
              </w:rPr>
            </w:pPr>
            <w:r>
              <w:rPr>
                <w:color w:val="000000"/>
                <w:sz w:val="28"/>
                <w:szCs w:val="28"/>
              </w:rPr>
              <w:t>单位</w:t>
            </w:r>
          </w:p>
        </w:tc>
        <w:tc>
          <w:tcPr>
            <w:tcW w:w="540" w:type="dxa"/>
            <w:vAlign w:val="center"/>
          </w:tcPr>
          <w:p>
            <w:pPr>
              <w:pStyle w:val="5"/>
              <w:spacing w:line="400" w:lineRule="exact"/>
              <w:ind w:firstLine="0"/>
              <w:jc w:val="center"/>
              <w:rPr>
                <w:color w:val="000000"/>
                <w:sz w:val="28"/>
                <w:szCs w:val="28"/>
              </w:rPr>
            </w:pPr>
            <w:r>
              <w:rPr>
                <w:color w:val="000000"/>
                <w:sz w:val="28"/>
                <w:szCs w:val="28"/>
              </w:rPr>
              <w:t>数量</w:t>
            </w:r>
          </w:p>
        </w:tc>
        <w:tc>
          <w:tcPr>
            <w:tcW w:w="1260" w:type="dxa"/>
            <w:vAlign w:val="center"/>
          </w:tcPr>
          <w:p>
            <w:pPr>
              <w:pStyle w:val="5"/>
              <w:spacing w:line="400" w:lineRule="exact"/>
              <w:ind w:firstLine="0"/>
              <w:jc w:val="center"/>
              <w:rPr>
                <w:color w:val="000000"/>
                <w:sz w:val="28"/>
                <w:szCs w:val="28"/>
              </w:rPr>
            </w:pPr>
            <w:r>
              <w:rPr>
                <w:color w:val="000000"/>
                <w:sz w:val="28"/>
                <w:szCs w:val="28"/>
              </w:rPr>
              <w:t>品牌</w:t>
            </w:r>
          </w:p>
        </w:tc>
        <w:tc>
          <w:tcPr>
            <w:tcW w:w="2340" w:type="dxa"/>
            <w:vAlign w:val="center"/>
          </w:tcPr>
          <w:p>
            <w:pPr>
              <w:pStyle w:val="5"/>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5"/>
              <w:spacing w:line="400" w:lineRule="exact"/>
              <w:ind w:firstLine="0"/>
              <w:jc w:val="center"/>
              <w:rPr>
                <w:color w:val="000000"/>
                <w:sz w:val="28"/>
                <w:szCs w:val="28"/>
              </w:rPr>
            </w:pPr>
            <w:r>
              <w:rPr>
                <w:color w:val="000000"/>
                <w:sz w:val="28"/>
                <w:szCs w:val="28"/>
              </w:rPr>
              <w:t>单价</w:t>
            </w:r>
          </w:p>
          <w:p>
            <w:pPr>
              <w:pStyle w:val="5"/>
              <w:spacing w:line="400" w:lineRule="exact"/>
              <w:ind w:firstLine="0"/>
              <w:jc w:val="center"/>
              <w:rPr>
                <w:color w:val="000000"/>
                <w:sz w:val="28"/>
                <w:szCs w:val="28"/>
              </w:rPr>
            </w:pPr>
            <w:r>
              <w:rPr>
                <w:color w:val="000000"/>
                <w:sz w:val="28"/>
                <w:szCs w:val="28"/>
              </w:rPr>
              <w:t>（元）</w:t>
            </w:r>
          </w:p>
        </w:tc>
        <w:tc>
          <w:tcPr>
            <w:tcW w:w="992" w:type="dxa"/>
            <w:vAlign w:val="center"/>
          </w:tcPr>
          <w:p>
            <w:pPr>
              <w:pStyle w:val="5"/>
              <w:spacing w:line="400" w:lineRule="exact"/>
              <w:ind w:firstLine="0"/>
              <w:jc w:val="center"/>
              <w:rPr>
                <w:color w:val="000000"/>
                <w:sz w:val="28"/>
                <w:szCs w:val="28"/>
              </w:rPr>
            </w:pPr>
            <w:r>
              <w:rPr>
                <w:color w:val="000000"/>
                <w:sz w:val="28"/>
                <w:szCs w:val="28"/>
              </w:rPr>
              <w:t>总价</w:t>
            </w:r>
          </w:p>
          <w:p>
            <w:pPr>
              <w:pStyle w:val="5"/>
              <w:spacing w:line="400" w:lineRule="exact"/>
              <w:ind w:firstLine="0"/>
              <w:jc w:val="center"/>
              <w:rPr>
                <w:color w:val="000000"/>
                <w:sz w:val="28"/>
                <w:szCs w:val="28"/>
              </w:rPr>
            </w:pPr>
            <w:r>
              <w:rPr>
                <w:color w:val="000000"/>
                <w:sz w:val="28"/>
                <w:szCs w:val="28"/>
              </w:rPr>
              <w:t>（元）</w:t>
            </w:r>
          </w:p>
        </w:tc>
        <w:tc>
          <w:tcPr>
            <w:tcW w:w="663" w:type="dxa"/>
            <w:vAlign w:val="center"/>
          </w:tcPr>
          <w:p>
            <w:pPr>
              <w:pStyle w:val="5"/>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r>
              <w:rPr>
                <w:color w:val="000000"/>
                <w:sz w:val="28"/>
                <w:szCs w:val="28"/>
              </w:rPr>
              <w:t>1</w:t>
            </w: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color w:val="000000"/>
                <w:sz w:val="28"/>
                <w:szCs w:val="28"/>
              </w:rPr>
            </w:pPr>
            <w:r>
              <w:rPr>
                <w:color w:val="000000"/>
                <w:sz w:val="28"/>
                <w:szCs w:val="28"/>
              </w:rPr>
              <w:t>合 计</w:t>
            </w:r>
          </w:p>
          <w:p>
            <w:pPr>
              <w:pStyle w:val="5"/>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5"/>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19（第二次）</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ascii="宋体" w:hAnsi="宋体" w:cs="宋体"/>
          <w:b/>
          <w:color w:val="000000"/>
          <w:sz w:val="32"/>
          <w:szCs w:val="32"/>
        </w:rPr>
        <w:t>冷等静压机</w:t>
      </w:r>
    </w:p>
    <w:p>
      <w:pPr>
        <w:spacing w:line="480" w:lineRule="exact"/>
        <w:rPr>
          <w:bCs/>
          <w:color w:val="000000"/>
          <w:sz w:val="28"/>
          <w:szCs w:val="28"/>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19（第二次）</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ascii="宋体" w:hAnsi="宋体" w:cs="宋体"/>
          <w:b/>
          <w:color w:val="000000"/>
          <w:sz w:val="32"/>
          <w:szCs w:val="32"/>
        </w:rPr>
        <w:t>冷等静压机</w:t>
      </w:r>
    </w:p>
    <w:p>
      <w:pPr>
        <w:snapToGrid w:val="0"/>
        <w:spacing w:line="360" w:lineRule="auto"/>
        <w:rPr>
          <w:b/>
          <w:color w:val="000000"/>
          <w:sz w:val="32"/>
          <w:szCs w:val="32"/>
        </w:rPr>
      </w:pPr>
    </w:p>
    <w:tbl>
      <w:tblPr>
        <w:tblStyle w:val="1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19（第二次</w:t>
      </w:r>
      <w:bookmarkStart w:id="7" w:name="_GoBack"/>
      <w:bookmarkEnd w:id="7"/>
      <w:r>
        <w:rPr>
          <w:rFonts w:hint="eastAsia" w:ascii="宋体" w:hAnsi="宋体" w:cs="宋体"/>
          <w:b/>
          <w:color w:val="000000"/>
          <w:sz w:val="32"/>
          <w:szCs w:val="32"/>
          <w:lang w:val="en-US" w:eastAsia="zh-CN"/>
        </w:rPr>
        <w:t>）</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ascii="宋体" w:hAnsi="宋体" w:cs="宋体"/>
          <w:b/>
          <w:color w:val="000000"/>
          <w:sz w:val="32"/>
          <w:szCs w:val="32"/>
        </w:rPr>
        <w:t>冷等静压机</w:t>
      </w:r>
    </w:p>
    <w:tbl>
      <w:tblPr>
        <w:tblStyle w:val="12"/>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4"/>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0"/>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19（第二次）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54657A9"/>
    <w:rsid w:val="000B00E4"/>
    <w:rsid w:val="000D45A8"/>
    <w:rsid w:val="00137599"/>
    <w:rsid w:val="001D7184"/>
    <w:rsid w:val="001F329C"/>
    <w:rsid w:val="00233E13"/>
    <w:rsid w:val="0026234A"/>
    <w:rsid w:val="00284389"/>
    <w:rsid w:val="002D3B5D"/>
    <w:rsid w:val="002E2CD0"/>
    <w:rsid w:val="00307BDC"/>
    <w:rsid w:val="00321A08"/>
    <w:rsid w:val="00321E22"/>
    <w:rsid w:val="00396BA5"/>
    <w:rsid w:val="003A0531"/>
    <w:rsid w:val="0040672E"/>
    <w:rsid w:val="00426090"/>
    <w:rsid w:val="0043319F"/>
    <w:rsid w:val="004708DB"/>
    <w:rsid w:val="004831A1"/>
    <w:rsid w:val="00483499"/>
    <w:rsid w:val="00484645"/>
    <w:rsid w:val="004A130F"/>
    <w:rsid w:val="004D2EF1"/>
    <w:rsid w:val="004E3A9C"/>
    <w:rsid w:val="00510E4A"/>
    <w:rsid w:val="00590810"/>
    <w:rsid w:val="005C3BDC"/>
    <w:rsid w:val="006871C7"/>
    <w:rsid w:val="00695687"/>
    <w:rsid w:val="006B779E"/>
    <w:rsid w:val="006C1615"/>
    <w:rsid w:val="00721985"/>
    <w:rsid w:val="00722F37"/>
    <w:rsid w:val="00730974"/>
    <w:rsid w:val="0074721D"/>
    <w:rsid w:val="007849C7"/>
    <w:rsid w:val="008042C6"/>
    <w:rsid w:val="008052EF"/>
    <w:rsid w:val="0084463E"/>
    <w:rsid w:val="008F529E"/>
    <w:rsid w:val="00921BDA"/>
    <w:rsid w:val="009D0EF7"/>
    <w:rsid w:val="009D26AE"/>
    <w:rsid w:val="00A763D2"/>
    <w:rsid w:val="00A92A97"/>
    <w:rsid w:val="00AA35EB"/>
    <w:rsid w:val="00AD0B51"/>
    <w:rsid w:val="00AF3679"/>
    <w:rsid w:val="00B51375"/>
    <w:rsid w:val="00B84D2B"/>
    <w:rsid w:val="00BB23CC"/>
    <w:rsid w:val="00BB3F63"/>
    <w:rsid w:val="00C17BF9"/>
    <w:rsid w:val="00CD5A70"/>
    <w:rsid w:val="00D02BED"/>
    <w:rsid w:val="00D126DF"/>
    <w:rsid w:val="00D575E4"/>
    <w:rsid w:val="00E14392"/>
    <w:rsid w:val="00E437FA"/>
    <w:rsid w:val="00E466E0"/>
    <w:rsid w:val="00E6144C"/>
    <w:rsid w:val="00E840C6"/>
    <w:rsid w:val="00E948AE"/>
    <w:rsid w:val="00EC0120"/>
    <w:rsid w:val="00EC07B0"/>
    <w:rsid w:val="00F76201"/>
    <w:rsid w:val="0C712CDF"/>
    <w:rsid w:val="0E641029"/>
    <w:rsid w:val="14CA2FC1"/>
    <w:rsid w:val="19D14EA8"/>
    <w:rsid w:val="2E900CD9"/>
    <w:rsid w:val="554657A9"/>
    <w:rsid w:val="57C428C6"/>
    <w:rsid w:val="6F1D21B7"/>
    <w:rsid w:val="70835EE1"/>
    <w:rsid w:val="73152FE8"/>
    <w:rsid w:val="76AC60D8"/>
    <w:rsid w:val="7E0A29C3"/>
    <w:rsid w:val="7FCE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1"/>
    <w:next w:val="1"/>
    <w:link w:val="2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link w:val="23"/>
    <w:qFormat/>
    <w:uiPriority w:val="0"/>
    <w:pPr>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Body Text Indent"/>
    <w:basedOn w:val="1"/>
    <w:qFormat/>
    <w:uiPriority w:val="0"/>
    <w:pPr>
      <w:spacing w:after="120"/>
      <w:ind w:left="420" w:leftChars="200"/>
    </w:p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Paragraph"/>
    <w:basedOn w:val="1"/>
    <w:qFormat/>
    <w:uiPriority w:val="34"/>
    <w:pPr>
      <w:ind w:firstLine="420" w:firstLineChars="200"/>
    </w:pPr>
  </w:style>
  <w:style w:type="paragraph" w:customStyle="1" w:styleId="16">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7">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1">
    <w:name w:val="NormalCharacter"/>
    <w:qFormat/>
    <w:uiPriority w:val="0"/>
  </w:style>
  <w:style w:type="character" w:customStyle="1" w:styleId="22">
    <w:name w:val="标题 4 Char"/>
    <w:basedOn w:val="13"/>
    <w:link w:val="4"/>
    <w:semiHidden/>
    <w:qFormat/>
    <w:uiPriority w:val="0"/>
    <w:rPr>
      <w:rFonts w:asciiTheme="majorHAnsi" w:hAnsiTheme="majorHAnsi" w:eastAsiaTheme="majorEastAsia" w:cstheme="majorBidi"/>
      <w:b/>
      <w:bCs/>
      <w:kern w:val="2"/>
      <w:sz w:val="28"/>
      <w:szCs w:val="28"/>
    </w:rPr>
  </w:style>
  <w:style w:type="character" w:customStyle="1" w:styleId="23">
    <w:name w:val="信息标题 Char"/>
    <w:basedOn w:val="13"/>
    <w:link w:val="2"/>
    <w:qFormat/>
    <w:uiPriority w:val="0"/>
    <w:rPr>
      <w:rFonts w:ascii="Arial" w:hAnsi="Arial" w:eastAsia="宋体" w:cs="Times New Roman"/>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3309</Words>
  <Characters>18862</Characters>
  <Lines>157</Lines>
  <Paragraphs>44</Paragraphs>
  <TotalTime>1</TotalTime>
  <ScaleCrop>false</ScaleCrop>
  <LinksUpToDate>false</LinksUpToDate>
  <CharactersWithSpaces>22127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dcterms:modified xsi:type="dcterms:W3CDTF">2022-06-02T08:06:45Z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