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000000"/>
          <w:sz w:val="44"/>
          <w:szCs w:val="44"/>
        </w:rPr>
      </w:pPr>
    </w:p>
    <w:p>
      <w:pPr>
        <w:spacing w:line="360" w:lineRule="auto"/>
        <w:jc w:val="center"/>
        <w:rPr>
          <w:rFonts w:ascii="宋体" w:hAnsi="宋体" w:cs="宋体"/>
          <w:b/>
          <w:bCs/>
          <w:color w:val="000000"/>
          <w:sz w:val="36"/>
          <w:szCs w:val="36"/>
        </w:rPr>
      </w:pPr>
      <w:r>
        <w:rPr>
          <w:rFonts w:hint="eastAsia" w:ascii="宋体" w:hAnsi="宋体" w:cs="宋体"/>
          <w:b/>
          <w:bCs/>
          <w:color w:val="000000"/>
          <w:sz w:val="36"/>
          <w:szCs w:val="36"/>
        </w:rPr>
        <w:t>衢州学院</w:t>
      </w:r>
    </w:p>
    <w:p>
      <w:pPr>
        <w:spacing w:line="360" w:lineRule="auto"/>
        <w:jc w:val="center"/>
        <w:rPr>
          <w:rFonts w:ascii="宋体" w:hAnsi="宋体" w:cs="宋体"/>
          <w:b/>
          <w:bCs/>
          <w:color w:val="000000"/>
          <w:kern w:val="0"/>
          <w:sz w:val="36"/>
          <w:szCs w:val="36"/>
        </w:rPr>
      </w:pPr>
      <w:bookmarkStart w:id="0" w:name="_Hlk84579750"/>
      <w:r>
        <w:rPr>
          <w:rFonts w:hint="eastAsia" w:ascii="宋体" w:hAnsi="宋体" w:cs="宋体"/>
          <w:b/>
          <w:bCs/>
          <w:color w:val="000000"/>
          <w:kern w:val="0"/>
          <w:sz w:val="36"/>
          <w:szCs w:val="36"/>
        </w:rPr>
        <w:t>毛竹重大病虫害样本数据采集及硬件对接服务</w:t>
      </w:r>
    </w:p>
    <w:p>
      <w:pPr>
        <w:pStyle w:val="11"/>
        <w:ind w:left="582" w:leftChars="41" w:hanging="496" w:hangingChars="138"/>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（信息学院）</w:t>
      </w:r>
    </w:p>
    <w:p>
      <w:pPr>
        <w:pStyle w:val="11"/>
        <w:ind w:left="2250" w:hanging="1200"/>
      </w:pPr>
    </w:p>
    <w:bookmarkEnd w:id="0"/>
    <w:p>
      <w:pPr>
        <w:snapToGrid w:val="0"/>
        <w:jc w:val="center"/>
        <w:rPr>
          <w:rFonts w:ascii="宋体" w:hAnsi="宋体" w:cs="宋体"/>
          <w:b/>
          <w:color w:val="000000"/>
          <w:sz w:val="72"/>
          <w:szCs w:val="20"/>
        </w:rPr>
      </w:pPr>
      <w:r>
        <w:rPr>
          <w:rFonts w:hint="eastAsia" w:ascii="宋体" w:hAnsi="宋体" w:cs="宋体"/>
          <w:b/>
          <w:color w:val="000000"/>
          <w:sz w:val="72"/>
          <w:szCs w:val="20"/>
        </w:rPr>
        <w:t>竞</w:t>
      </w:r>
    </w:p>
    <w:p>
      <w:pPr>
        <w:snapToGrid w:val="0"/>
        <w:jc w:val="center"/>
        <w:rPr>
          <w:rFonts w:ascii="宋体" w:hAnsi="宋体" w:cs="宋体"/>
          <w:b/>
          <w:color w:val="000000"/>
          <w:sz w:val="72"/>
          <w:szCs w:val="20"/>
        </w:rPr>
      </w:pPr>
      <w:r>
        <w:rPr>
          <w:rFonts w:hint="eastAsia" w:ascii="宋体" w:hAnsi="宋体" w:cs="宋体"/>
          <w:b/>
          <w:color w:val="000000"/>
          <w:sz w:val="72"/>
          <w:szCs w:val="20"/>
        </w:rPr>
        <w:t>争</w:t>
      </w:r>
    </w:p>
    <w:p>
      <w:pPr>
        <w:snapToGrid w:val="0"/>
        <w:jc w:val="center"/>
        <w:rPr>
          <w:rFonts w:ascii="宋体" w:hAnsi="宋体" w:cs="宋体"/>
          <w:b/>
          <w:color w:val="000000"/>
          <w:sz w:val="72"/>
          <w:szCs w:val="20"/>
        </w:rPr>
      </w:pPr>
      <w:r>
        <w:rPr>
          <w:rFonts w:hint="eastAsia" w:ascii="宋体" w:hAnsi="宋体" w:cs="宋体"/>
          <w:b/>
          <w:color w:val="000000"/>
          <w:sz w:val="72"/>
          <w:szCs w:val="20"/>
        </w:rPr>
        <w:t>性</w:t>
      </w:r>
    </w:p>
    <w:p>
      <w:pPr>
        <w:snapToGrid w:val="0"/>
        <w:jc w:val="center"/>
        <w:rPr>
          <w:rFonts w:ascii="宋体" w:hAnsi="宋体" w:cs="宋体"/>
          <w:b/>
          <w:color w:val="000000"/>
          <w:sz w:val="72"/>
          <w:szCs w:val="20"/>
        </w:rPr>
      </w:pPr>
      <w:r>
        <w:rPr>
          <w:rFonts w:hint="eastAsia" w:ascii="宋体" w:hAnsi="宋体" w:cs="宋体"/>
          <w:b/>
          <w:color w:val="000000"/>
          <w:sz w:val="72"/>
          <w:szCs w:val="20"/>
        </w:rPr>
        <w:t>磋</w:t>
      </w:r>
    </w:p>
    <w:p>
      <w:pPr>
        <w:snapToGrid w:val="0"/>
        <w:jc w:val="center"/>
        <w:rPr>
          <w:rFonts w:ascii="宋体" w:hAnsi="宋体" w:cs="宋体"/>
          <w:b/>
          <w:color w:val="000000"/>
          <w:sz w:val="72"/>
          <w:szCs w:val="20"/>
        </w:rPr>
      </w:pPr>
      <w:r>
        <w:rPr>
          <w:rFonts w:hint="eastAsia" w:ascii="宋体" w:hAnsi="宋体" w:cs="宋体"/>
          <w:b/>
          <w:color w:val="000000"/>
          <w:sz w:val="72"/>
          <w:szCs w:val="20"/>
        </w:rPr>
        <w:t>商</w:t>
      </w:r>
    </w:p>
    <w:p>
      <w:pPr>
        <w:snapToGrid w:val="0"/>
        <w:jc w:val="center"/>
        <w:rPr>
          <w:rFonts w:ascii="宋体" w:hAnsi="宋体" w:cs="宋体"/>
          <w:b/>
          <w:color w:val="000000"/>
          <w:sz w:val="72"/>
          <w:szCs w:val="20"/>
        </w:rPr>
      </w:pPr>
      <w:r>
        <w:rPr>
          <w:rFonts w:hint="eastAsia" w:ascii="宋体" w:hAnsi="宋体" w:cs="宋体"/>
          <w:b/>
          <w:color w:val="000000"/>
          <w:sz w:val="72"/>
          <w:szCs w:val="20"/>
        </w:rPr>
        <w:t>文</w:t>
      </w:r>
    </w:p>
    <w:p>
      <w:pPr>
        <w:snapToGrid w:val="0"/>
        <w:jc w:val="center"/>
        <w:rPr>
          <w:rFonts w:ascii="宋体" w:hAnsi="宋体" w:cs="宋体"/>
          <w:b/>
          <w:color w:val="000000"/>
          <w:sz w:val="72"/>
          <w:szCs w:val="20"/>
        </w:rPr>
      </w:pPr>
      <w:r>
        <w:rPr>
          <w:rFonts w:hint="eastAsia" w:ascii="宋体" w:hAnsi="宋体" w:cs="宋体"/>
          <w:b/>
          <w:color w:val="000000"/>
          <w:sz w:val="72"/>
          <w:szCs w:val="20"/>
        </w:rPr>
        <w:t>件</w:t>
      </w:r>
    </w:p>
    <w:p>
      <w:pPr>
        <w:snapToGrid w:val="0"/>
        <w:jc w:val="center"/>
        <w:rPr>
          <w:rFonts w:ascii="宋体" w:hAnsi="宋体" w:cs="宋体"/>
          <w:b/>
          <w:color w:val="000000"/>
          <w:sz w:val="72"/>
          <w:szCs w:val="20"/>
        </w:rPr>
      </w:pPr>
    </w:p>
    <w:p>
      <w:pPr>
        <w:pStyle w:val="4"/>
        <w:rPr>
          <w:rFonts w:ascii="宋体" w:hAnsi="宋体" w:cs="宋体"/>
        </w:rPr>
      </w:pPr>
    </w:p>
    <w:p>
      <w:pPr>
        <w:spacing w:line="360" w:lineRule="auto"/>
        <w:jc w:val="center"/>
        <w:rPr>
          <w:rFonts w:ascii="宋体" w:hAnsi="宋体" w:cs="宋体"/>
          <w:b/>
          <w:bCs/>
          <w:color w:val="000000"/>
          <w:sz w:val="32"/>
        </w:rPr>
      </w:pPr>
      <w:r>
        <w:rPr>
          <w:rFonts w:hint="eastAsia" w:ascii="宋体" w:hAnsi="宋体" w:cs="宋体"/>
          <w:b/>
          <w:bCs/>
          <w:color w:val="000000"/>
          <w:sz w:val="32"/>
        </w:rPr>
        <w:t>采购单位：衢州学院</w:t>
      </w:r>
    </w:p>
    <w:p>
      <w:pPr>
        <w:spacing w:line="360" w:lineRule="auto"/>
        <w:jc w:val="center"/>
        <w:rPr>
          <w:rFonts w:ascii="宋体" w:hAnsi="宋体" w:cs="宋体"/>
          <w:b/>
          <w:bCs/>
          <w:color w:val="000000"/>
          <w:sz w:val="32"/>
        </w:rPr>
      </w:pPr>
      <w:r>
        <w:rPr>
          <w:rFonts w:hint="eastAsia" w:ascii="宋体" w:hAnsi="宋体" w:cs="宋体"/>
          <w:b/>
          <w:bCs/>
          <w:color w:val="000000"/>
          <w:sz w:val="32"/>
        </w:rPr>
        <w:t>2021年1</w:t>
      </w:r>
      <w:r>
        <w:rPr>
          <w:rFonts w:hint="eastAsia" w:ascii="宋体" w:hAnsi="宋体" w:cs="宋体"/>
          <w:b/>
          <w:bCs/>
          <w:color w:val="000000"/>
          <w:sz w:val="32"/>
          <w:lang w:val="en-US" w:eastAsia="zh-CN"/>
        </w:rPr>
        <w:t>1</w:t>
      </w:r>
      <w:r>
        <w:rPr>
          <w:rFonts w:hint="eastAsia" w:ascii="宋体" w:hAnsi="宋体" w:cs="宋体"/>
          <w:b/>
          <w:bCs/>
          <w:color w:val="000000"/>
          <w:sz w:val="32"/>
        </w:rPr>
        <w:t>月</w:t>
      </w:r>
    </w:p>
    <w:p>
      <w:pPr>
        <w:pStyle w:val="13"/>
        <w:jc w:val="both"/>
        <w:rPr>
          <w:rFonts w:ascii="宋体" w:hAnsi="宋体" w:cs="宋体"/>
          <w:color w:val="000000"/>
          <w:sz w:val="44"/>
          <w:szCs w:val="44"/>
        </w:rPr>
      </w:pPr>
    </w:p>
    <w:p>
      <w:pPr>
        <w:pStyle w:val="13"/>
        <w:rPr>
          <w:rFonts w:ascii="宋体" w:hAnsi="宋体" w:cs="宋体"/>
          <w:color w:val="000000"/>
          <w:sz w:val="44"/>
          <w:szCs w:val="44"/>
        </w:rPr>
      </w:pPr>
    </w:p>
    <w:p>
      <w:pPr>
        <w:pStyle w:val="13"/>
        <w:jc w:val="both"/>
        <w:rPr>
          <w:rFonts w:ascii="宋体" w:hAnsi="宋体" w:cs="宋体"/>
          <w:color w:val="000000"/>
          <w:sz w:val="44"/>
          <w:szCs w:val="44"/>
        </w:rPr>
      </w:pPr>
    </w:p>
    <w:p>
      <w:pPr>
        <w:pStyle w:val="13"/>
        <w:rPr>
          <w:rFonts w:ascii="宋体" w:hAnsi="宋体" w:cs="宋体"/>
          <w:color w:val="000000"/>
          <w:sz w:val="44"/>
          <w:szCs w:val="44"/>
        </w:rPr>
      </w:pPr>
      <w:r>
        <w:rPr>
          <w:rFonts w:hint="eastAsia" w:ascii="宋体" w:hAnsi="宋体" w:cs="宋体"/>
          <w:color w:val="000000"/>
          <w:sz w:val="44"/>
          <w:szCs w:val="44"/>
        </w:rPr>
        <w:t>目 录</w:t>
      </w:r>
    </w:p>
    <w:p>
      <w:pPr>
        <w:rPr>
          <w:rFonts w:ascii="宋体" w:hAnsi="宋体" w:cs="宋体"/>
          <w:color w:val="000000"/>
        </w:rPr>
      </w:pPr>
    </w:p>
    <w:p>
      <w:pPr>
        <w:ind w:firstLine="160" w:firstLineChars="50"/>
        <w:rPr>
          <w:rFonts w:ascii="宋体" w:hAnsi="宋体" w:cs="宋体"/>
          <w:bCs/>
          <w:color w:val="000000"/>
          <w:sz w:val="32"/>
        </w:rPr>
      </w:pPr>
      <w:r>
        <w:rPr>
          <w:rFonts w:hint="eastAsia" w:ascii="宋体" w:hAnsi="宋体" w:cs="宋体"/>
          <w:bCs/>
          <w:color w:val="000000"/>
          <w:sz w:val="32"/>
          <w:szCs w:val="36"/>
        </w:rPr>
        <w:t xml:space="preserve">第一章  </w:t>
      </w:r>
      <w:r>
        <w:rPr>
          <w:rFonts w:hint="eastAsia" w:ascii="宋体" w:hAnsi="宋体" w:cs="宋体"/>
          <w:bCs/>
          <w:color w:val="000000"/>
          <w:sz w:val="32"/>
        </w:rPr>
        <w:t>竞争性磋商采购公告…………………………3</w:t>
      </w:r>
    </w:p>
    <w:p>
      <w:pPr>
        <w:rPr>
          <w:rFonts w:ascii="宋体" w:hAnsi="宋体" w:cs="宋体"/>
          <w:bCs/>
          <w:color w:val="000000"/>
          <w:sz w:val="32"/>
        </w:rPr>
      </w:pPr>
    </w:p>
    <w:p>
      <w:pPr>
        <w:ind w:firstLine="160" w:firstLineChars="50"/>
        <w:rPr>
          <w:rFonts w:ascii="宋体" w:hAnsi="宋体" w:cs="宋体"/>
          <w:bCs/>
          <w:color w:val="000000"/>
          <w:sz w:val="32"/>
        </w:rPr>
      </w:pPr>
      <w:r>
        <w:rPr>
          <w:rFonts w:hint="eastAsia" w:ascii="宋体" w:hAnsi="宋体" w:cs="宋体"/>
          <w:bCs/>
          <w:color w:val="000000"/>
          <w:sz w:val="32"/>
        </w:rPr>
        <w:t>第二章  响应人须知……………………………………5</w:t>
      </w:r>
    </w:p>
    <w:p>
      <w:pPr>
        <w:rPr>
          <w:rFonts w:ascii="宋体" w:hAnsi="宋体" w:cs="宋体"/>
          <w:bCs/>
          <w:color w:val="000000"/>
          <w:sz w:val="32"/>
        </w:rPr>
      </w:pPr>
    </w:p>
    <w:p>
      <w:pPr>
        <w:ind w:firstLine="160" w:firstLineChars="50"/>
        <w:rPr>
          <w:rFonts w:ascii="宋体" w:hAnsi="宋体" w:cs="宋体"/>
          <w:bCs/>
          <w:color w:val="000000"/>
          <w:sz w:val="32"/>
        </w:rPr>
      </w:pPr>
      <w:r>
        <w:rPr>
          <w:rFonts w:hint="eastAsia" w:ascii="宋体" w:hAnsi="宋体" w:cs="宋体"/>
          <w:bCs/>
          <w:color w:val="000000"/>
          <w:sz w:val="32"/>
        </w:rPr>
        <w:t>第三章  采购需求………………………………………12</w:t>
      </w:r>
    </w:p>
    <w:p>
      <w:pPr>
        <w:rPr>
          <w:rFonts w:ascii="宋体" w:hAnsi="宋体" w:cs="宋体"/>
          <w:bCs/>
          <w:color w:val="000000"/>
          <w:sz w:val="32"/>
        </w:rPr>
      </w:pPr>
    </w:p>
    <w:p>
      <w:pPr>
        <w:ind w:firstLine="160" w:firstLineChars="50"/>
        <w:rPr>
          <w:rFonts w:hint="eastAsia" w:ascii="宋体" w:hAnsi="宋体" w:eastAsia="宋体" w:cs="宋体"/>
          <w:bCs/>
          <w:color w:val="000000"/>
          <w:sz w:val="32"/>
          <w:lang w:val="en-US" w:eastAsia="zh-CN"/>
        </w:rPr>
      </w:pPr>
      <w:r>
        <w:rPr>
          <w:rFonts w:hint="eastAsia" w:ascii="宋体" w:hAnsi="宋体" w:cs="宋体"/>
          <w:bCs/>
          <w:color w:val="000000"/>
          <w:sz w:val="32"/>
        </w:rPr>
        <w:t>第四章  评审办法………………………………………1</w:t>
      </w:r>
      <w:r>
        <w:rPr>
          <w:rFonts w:hint="eastAsia" w:ascii="宋体" w:hAnsi="宋体" w:cs="宋体"/>
          <w:bCs/>
          <w:color w:val="000000"/>
          <w:sz w:val="32"/>
          <w:lang w:val="en-US" w:eastAsia="zh-CN"/>
        </w:rPr>
        <w:t>3</w:t>
      </w:r>
    </w:p>
    <w:p>
      <w:pPr>
        <w:rPr>
          <w:rFonts w:ascii="宋体" w:hAnsi="宋体" w:cs="宋体"/>
          <w:bCs/>
          <w:color w:val="000000"/>
          <w:sz w:val="32"/>
        </w:rPr>
      </w:pPr>
    </w:p>
    <w:p>
      <w:pPr>
        <w:ind w:firstLine="160" w:firstLineChars="50"/>
        <w:rPr>
          <w:rFonts w:hint="eastAsia" w:ascii="宋体" w:hAnsi="宋体" w:eastAsia="宋体" w:cs="宋体"/>
          <w:bCs/>
          <w:color w:val="000000"/>
          <w:sz w:val="32"/>
          <w:lang w:val="en-US" w:eastAsia="zh-CN"/>
        </w:rPr>
      </w:pPr>
      <w:r>
        <w:rPr>
          <w:rFonts w:hint="eastAsia" w:ascii="宋体" w:hAnsi="宋体" w:cs="宋体"/>
          <w:bCs/>
          <w:color w:val="000000"/>
          <w:sz w:val="32"/>
        </w:rPr>
        <w:t>第五章  合同主要条款</w:t>
      </w:r>
      <w:r>
        <w:rPr>
          <w:rFonts w:hint="eastAsia" w:ascii="宋体" w:hAnsi="宋体" w:cs="宋体"/>
          <w:color w:val="000000"/>
          <w:sz w:val="32"/>
        </w:rPr>
        <w:t>…………………………</w:t>
      </w:r>
      <w:r>
        <w:rPr>
          <w:rFonts w:hint="eastAsia" w:ascii="宋体" w:hAnsi="宋体" w:cs="宋体"/>
          <w:bCs/>
          <w:color w:val="000000"/>
          <w:sz w:val="32"/>
        </w:rPr>
        <w:t>………1</w:t>
      </w:r>
      <w:r>
        <w:rPr>
          <w:rFonts w:hint="eastAsia" w:ascii="宋体" w:hAnsi="宋体" w:cs="宋体"/>
          <w:bCs/>
          <w:color w:val="000000"/>
          <w:sz w:val="32"/>
          <w:lang w:val="en-US" w:eastAsia="zh-CN"/>
        </w:rPr>
        <w:t>6</w:t>
      </w:r>
    </w:p>
    <w:p>
      <w:pPr>
        <w:tabs>
          <w:tab w:val="left" w:pos="7200"/>
        </w:tabs>
        <w:rPr>
          <w:rFonts w:ascii="宋体" w:hAnsi="宋体" w:cs="宋体"/>
          <w:bCs/>
          <w:color w:val="000000"/>
          <w:sz w:val="32"/>
        </w:rPr>
      </w:pPr>
    </w:p>
    <w:p>
      <w:pPr>
        <w:ind w:firstLine="160" w:firstLineChars="50"/>
        <w:rPr>
          <w:rFonts w:hint="default" w:ascii="宋体" w:hAnsi="宋体" w:eastAsia="宋体" w:cs="宋体"/>
          <w:color w:val="000000"/>
          <w:sz w:val="28"/>
          <w:lang w:val="en-US" w:eastAsia="zh-CN"/>
        </w:rPr>
      </w:pPr>
      <w:r>
        <w:rPr>
          <w:rFonts w:hint="eastAsia" w:ascii="宋体" w:hAnsi="宋体" w:cs="宋体"/>
          <w:bCs/>
          <w:color w:val="000000"/>
          <w:sz w:val="32"/>
        </w:rPr>
        <w:t>第六章  应提交的有关材料格式范例</w:t>
      </w:r>
      <w:r>
        <w:rPr>
          <w:rFonts w:hint="eastAsia" w:ascii="宋体" w:hAnsi="宋体" w:cs="宋体"/>
          <w:color w:val="000000"/>
          <w:sz w:val="32"/>
        </w:rPr>
        <w:t>……………</w:t>
      </w:r>
      <w:r>
        <w:rPr>
          <w:rFonts w:hint="eastAsia" w:ascii="宋体" w:hAnsi="宋体" w:cs="宋体"/>
          <w:bCs/>
          <w:color w:val="000000"/>
          <w:sz w:val="32"/>
        </w:rPr>
        <w:t>……</w:t>
      </w:r>
      <w:r>
        <w:rPr>
          <w:rFonts w:hint="eastAsia" w:ascii="宋体" w:hAnsi="宋体" w:cs="宋体"/>
          <w:bCs/>
          <w:color w:val="000000"/>
          <w:sz w:val="32"/>
          <w:lang w:val="en-US" w:eastAsia="zh-CN"/>
        </w:rPr>
        <w:t>20</w:t>
      </w:r>
    </w:p>
    <w:p>
      <w:pPr>
        <w:spacing w:line="400" w:lineRule="exact"/>
        <w:jc w:val="center"/>
        <w:outlineLvl w:val="0"/>
        <w:rPr>
          <w:rFonts w:ascii="宋体" w:hAnsi="宋体" w:cs="宋体"/>
          <w:color w:val="000000"/>
          <w:sz w:val="32"/>
        </w:rPr>
      </w:pPr>
      <w:r>
        <w:rPr>
          <w:rFonts w:hint="eastAsia" w:ascii="宋体" w:hAnsi="宋体" w:cs="宋体"/>
          <w:color w:val="000000"/>
          <w:sz w:val="32"/>
        </w:rPr>
        <w:br w:type="page"/>
      </w:r>
      <w:r>
        <w:rPr>
          <w:rFonts w:hint="eastAsia" w:ascii="宋体" w:hAnsi="宋体" w:cs="宋体"/>
          <w:b/>
          <w:bCs/>
          <w:color w:val="000000"/>
          <w:sz w:val="32"/>
        </w:rPr>
        <w:t>第一章  竞争性磋商采购公告</w:t>
      </w:r>
    </w:p>
    <w:p>
      <w:pPr>
        <w:widowControl/>
        <w:shd w:val="clear" w:color="auto" w:fill="FFFFFF"/>
        <w:spacing w:line="420" w:lineRule="exact"/>
        <w:ind w:firstLine="480" w:firstLineChars="200"/>
        <w:jc w:val="left"/>
        <w:rPr>
          <w:rFonts w:ascii="宋体" w:hAnsi="宋体" w:cs="宋体"/>
          <w:bCs/>
          <w:color w:val="000000"/>
          <w:sz w:val="24"/>
        </w:rPr>
      </w:pPr>
      <w:r>
        <w:rPr>
          <w:rFonts w:hint="eastAsia" w:ascii="宋体" w:hAnsi="宋体" w:cs="宋体"/>
          <w:bCs/>
          <w:color w:val="000000"/>
          <w:sz w:val="24"/>
        </w:rPr>
        <w:t>根据学校工作实际需要，现就</w:t>
      </w:r>
      <w:r>
        <w:rPr>
          <w:rFonts w:hint="eastAsia" w:ascii="宋体" w:hAnsi="宋体" w:cs="宋体"/>
          <w:b/>
          <w:color w:val="000000"/>
          <w:sz w:val="24"/>
        </w:rPr>
        <w:t>毛竹重大病虫害样本数据采集及硬件对接服务</w:t>
      </w:r>
      <w:r>
        <w:rPr>
          <w:rFonts w:hint="eastAsia" w:ascii="宋体" w:hAnsi="宋体" w:cs="宋体"/>
          <w:bCs/>
          <w:color w:val="000000"/>
          <w:sz w:val="24"/>
        </w:rPr>
        <w:t>进行竞争性磋商，欢迎符合相关资质条件的投标人参与。</w:t>
      </w:r>
    </w:p>
    <w:p>
      <w:pPr>
        <w:widowControl/>
        <w:shd w:val="clear" w:color="auto" w:fill="FFFFFF"/>
        <w:tabs>
          <w:tab w:val="left" w:pos="4158"/>
        </w:tabs>
        <w:spacing w:line="420" w:lineRule="exact"/>
        <w:ind w:left="2250" w:leftChars="228" w:hanging="1771" w:hangingChars="735"/>
        <w:jc w:val="left"/>
        <w:rPr>
          <w:rFonts w:hint="eastAsia" w:ascii="宋体" w:hAnsi="宋体" w:eastAsia="宋体" w:cs="宋体"/>
          <w:b/>
          <w:bCs/>
          <w:color w:val="000000"/>
          <w:sz w:val="24"/>
          <w:szCs w:val="24"/>
          <w:lang w:eastAsia="zh-CN"/>
        </w:rPr>
      </w:pPr>
      <w:r>
        <w:rPr>
          <w:rFonts w:hint="eastAsia" w:ascii="宋体" w:hAnsi="宋体" w:cs="宋体"/>
          <w:b/>
          <w:bCs/>
          <w:color w:val="000000"/>
          <w:sz w:val="24"/>
        </w:rPr>
        <w:t>一、项目名称：</w:t>
      </w:r>
      <w:r>
        <w:rPr>
          <w:rFonts w:hint="eastAsia" w:ascii="Tahoma" w:hAnsi="Tahoma" w:cs="Tahoma"/>
          <w:color w:val="333333"/>
          <w:sz w:val="24"/>
          <w:szCs w:val="24"/>
          <w:shd w:val="clear" w:color="auto" w:fill="FFFFFF"/>
          <w:lang w:eastAsia="zh-CN"/>
        </w:rPr>
        <w:t>毛竹重大病虫害样本数据采集及硬件对接服务</w:t>
      </w:r>
    </w:p>
    <w:p>
      <w:pPr>
        <w:widowControl/>
        <w:shd w:val="clear" w:color="auto" w:fill="FFFFFF"/>
        <w:tabs>
          <w:tab w:val="left" w:pos="4158"/>
        </w:tabs>
        <w:spacing w:line="420" w:lineRule="exact"/>
        <w:ind w:firstLine="482" w:firstLineChars="200"/>
        <w:jc w:val="left"/>
        <w:rPr>
          <w:rFonts w:ascii="宋体" w:hAnsi="宋体" w:cs="宋体"/>
          <w:bCs/>
          <w:color w:val="000000"/>
          <w:sz w:val="24"/>
        </w:rPr>
      </w:pPr>
      <w:r>
        <w:rPr>
          <w:rFonts w:hint="eastAsia" w:ascii="宋体" w:hAnsi="宋体" w:cs="宋体"/>
          <w:b/>
          <w:bCs/>
          <w:color w:val="000000"/>
          <w:sz w:val="24"/>
        </w:rPr>
        <w:t>二、项目编号：</w:t>
      </w:r>
      <w:r>
        <w:rPr>
          <w:rFonts w:hint="eastAsia" w:ascii="宋体" w:hAnsi="宋体" w:cs="宋体"/>
          <w:bCs/>
          <w:color w:val="000000"/>
          <w:sz w:val="24"/>
        </w:rPr>
        <w:t>衢院招2021-47</w:t>
      </w:r>
    </w:p>
    <w:p>
      <w:pPr>
        <w:widowControl/>
        <w:shd w:val="clear" w:color="auto" w:fill="FFFFFF"/>
        <w:spacing w:line="420" w:lineRule="exact"/>
        <w:ind w:firstLine="482" w:firstLineChars="200"/>
        <w:jc w:val="left"/>
        <w:rPr>
          <w:rFonts w:ascii="宋体" w:hAnsi="宋体" w:cs="宋体"/>
          <w:b/>
          <w:bCs/>
          <w:color w:val="000000"/>
          <w:sz w:val="24"/>
        </w:rPr>
      </w:pPr>
      <w:r>
        <w:rPr>
          <w:rFonts w:hint="eastAsia" w:ascii="宋体" w:hAnsi="宋体" w:cs="宋体"/>
          <w:b/>
          <w:bCs/>
          <w:color w:val="000000"/>
          <w:sz w:val="24"/>
        </w:rPr>
        <w:t xml:space="preserve">三、项目概况: </w:t>
      </w:r>
    </w:p>
    <w:tbl>
      <w:tblPr>
        <w:tblStyle w:val="15"/>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928"/>
        <w:gridCol w:w="1457"/>
        <w:gridCol w:w="1334"/>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33" w:type="pct"/>
            <w:noWrap/>
            <w:vAlign w:val="center"/>
          </w:tcPr>
          <w:p>
            <w:pPr>
              <w:snapToGrid w:val="0"/>
              <w:spacing w:line="420" w:lineRule="exact"/>
              <w:jc w:val="center"/>
              <w:rPr>
                <w:rFonts w:ascii="宋体" w:hAnsi="宋体" w:cs="宋体"/>
                <w:kern w:val="0"/>
                <w:sz w:val="24"/>
              </w:rPr>
            </w:pPr>
            <w:r>
              <w:rPr>
                <w:rFonts w:hint="eastAsia" w:ascii="宋体" w:hAnsi="宋体" w:cs="宋体"/>
                <w:kern w:val="0"/>
                <w:sz w:val="24"/>
              </w:rPr>
              <w:t>标项</w:t>
            </w:r>
          </w:p>
        </w:tc>
        <w:tc>
          <w:tcPr>
            <w:tcW w:w="1749" w:type="pct"/>
            <w:noWrap/>
            <w:vAlign w:val="center"/>
          </w:tcPr>
          <w:p>
            <w:pPr>
              <w:snapToGrid w:val="0"/>
              <w:spacing w:line="420" w:lineRule="exact"/>
              <w:jc w:val="center"/>
              <w:rPr>
                <w:rFonts w:ascii="宋体" w:hAnsi="宋体" w:cs="宋体"/>
                <w:kern w:val="0"/>
                <w:sz w:val="24"/>
              </w:rPr>
            </w:pPr>
            <w:r>
              <w:rPr>
                <w:rFonts w:hint="eastAsia" w:ascii="宋体" w:hAnsi="宋体" w:cs="宋体"/>
                <w:kern w:val="0"/>
                <w:sz w:val="24"/>
              </w:rPr>
              <w:t>标项内容</w:t>
            </w:r>
          </w:p>
        </w:tc>
        <w:tc>
          <w:tcPr>
            <w:tcW w:w="870" w:type="pct"/>
            <w:noWrap/>
            <w:vAlign w:val="center"/>
          </w:tcPr>
          <w:p>
            <w:pPr>
              <w:snapToGrid w:val="0"/>
              <w:spacing w:line="420" w:lineRule="exact"/>
              <w:rPr>
                <w:rFonts w:ascii="宋体" w:hAnsi="宋体" w:cs="宋体"/>
                <w:kern w:val="0"/>
                <w:sz w:val="24"/>
              </w:rPr>
            </w:pPr>
            <w:r>
              <w:rPr>
                <w:rFonts w:hint="eastAsia" w:ascii="宋体" w:hAnsi="宋体" w:cs="宋体"/>
                <w:kern w:val="0"/>
                <w:sz w:val="24"/>
              </w:rPr>
              <w:t>数量/单位</w:t>
            </w:r>
          </w:p>
        </w:tc>
        <w:tc>
          <w:tcPr>
            <w:tcW w:w="797" w:type="pct"/>
            <w:noWrap/>
            <w:vAlign w:val="center"/>
          </w:tcPr>
          <w:p>
            <w:pPr>
              <w:widowControl/>
              <w:spacing w:line="420" w:lineRule="exact"/>
              <w:jc w:val="center"/>
              <w:rPr>
                <w:rFonts w:ascii="宋体" w:hAnsi="宋体" w:cs="宋体"/>
                <w:kern w:val="0"/>
                <w:sz w:val="24"/>
              </w:rPr>
            </w:pPr>
            <w:r>
              <w:rPr>
                <w:rFonts w:hint="eastAsia" w:ascii="宋体" w:hAnsi="宋体" w:cs="宋体"/>
                <w:kern w:val="0"/>
                <w:sz w:val="24"/>
              </w:rPr>
              <w:t>预算金额</w:t>
            </w:r>
          </w:p>
          <w:p>
            <w:pPr>
              <w:widowControl/>
              <w:spacing w:line="420" w:lineRule="exact"/>
              <w:jc w:val="center"/>
              <w:rPr>
                <w:rFonts w:ascii="宋体" w:hAnsi="宋体" w:cs="宋体"/>
                <w:kern w:val="0"/>
                <w:sz w:val="24"/>
              </w:rPr>
            </w:pPr>
            <w:r>
              <w:rPr>
                <w:rFonts w:hint="eastAsia" w:ascii="宋体" w:hAnsi="宋体" w:cs="宋体"/>
                <w:kern w:val="0"/>
                <w:sz w:val="24"/>
              </w:rPr>
              <w:t>（万元）</w:t>
            </w:r>
          </w:p>
        </w:tc>
        <w:tc>
          <w:tcPr>
            <w:tcW w:w="1248" w:type="pct"/>
            <w:noWrap/>
            <w:vAlign w:val="center"/>
          </w:tcPr>
          <w:p>
            <w:pPr>
              <w:snapToGrid w:val="0"/>
              <w:spacing w:line="420" w:lineRule="exact"/>
              <w:jc w:val="center"/>
              <w:rPr>
                <w:rFonts w:ascii="宋体" w:hAnsi="宋体" w:cs="宋体"/>
                <w:kern w:val="0"/>
                <w:sz w:val="24"/>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33" w:type="pct"/>
            <w:noWrap/>
            <w:vAlign w:val="center"/>
          </w:tcPr>
          <w:p>
            <w:pPr>
              <w:snapToGrid w:val="0"/>
              <w:spacing w:line="420" w:lineRule="exact"/>
              <w:jc w:val="center"/>
              <w:rPr>
                <w:rFonts w:ascii="宋体" w:hAnsi="宋体" w:cs="宋体"/>
                <w:color w:val="000000"/>
                <w:kern w:val="0"/>
                <w:sz w:val="24"/>
              </w:rPr>
            </w:pPr>
            <w:r>
              <w:rPr>
                <w:rFonts w:hint="eastAsia" w:ascii="宋体" w:hAnsi="宋体" w:cs="宋体"/>
                <w:color w:val="000000"/>
                <w:kern w:val="0"/>
                <w:sz w:val="24"/>
              </w:rPr>
              <w:t>1</w:t>
            </w:r>
          </w:p>
        </w:tc>
        <w:tc>
          <w:tcPr>
            <w:tcW w:w="1749" w:type="pct"/>
            <w:noWrap/>
            <w:vAlign w:val="center"/>
          </w:tcPr>
          <w:p>
            <w:pPr>
              <w:snapToGrid w:val="0"/>
              <w:spacing w:line="420" w:lineRule="exact"/>
              <w:jc w:val="center"/>
              <w:rPr>
                <w:rFonts w:ascii="Tahoma" w:hAnsi="Tahoma" w:cs="Tahoma"/>
                <w:color w:val="333333"/>
                <w:szCs w:val="21"/>
                <w:shd w:val="clear" w:color="auto" w:fill="FFFFFF"/>
              </w:rPr>
            </w:pPr>
            <w:bookmarkStart w:id="2" w:name="_GoBack"/>
            <w:r>
              <w:rPr>
                <w:rFonts w:hint="eastAsia" w:ascii="宋体" w:hAnsi="宋体" w:cs="宋体"/>
                <w:kern w:val="0"/>
                <w:sz w:val="24"/>
              </w:rPr>
              <w:t>毛竹重大病虫害样本数据采集及硬件对接服务</w:t>
            </w:r>
            <w:bookmarkEnd w:id="2"/>
          </w:p>
        </w:tc>
        <w:tc>
          <w:tcPr>
            <w:tcW w:w="870" w:type="pct"/>
            <w:noWrap/>
            <w:vAlign w:val="center"/>
          </w:tcPr>
          <w:p>
            <w:pPr>
              <w:snapToGrid w:val="0"/>
              <w:spacing w:line="4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批</w:t>
            </w:r>
          </w:p>
        </w:tc>
        <w:tc>
          <w:tcPr>
            <w:tcW w:w="797" w:type="pct"/>
            <w:noWrap/>
            <w:vAlign w:val="center"/>
          </w:tcPr>
          <w:p>
            <w:pPr>
              <w:snapToGrid w:val="0"/>
              <w:spacing w:line="420" w:lineRule="exact"/>
              <w:jc w:val="center"/>
              <w:rPr>
                <w:rFonts w:hint="default" w:ascii="Tahoma" w:hAnsi="Tahoma" w:eastAsia="宋体" w:cs="Tahoma"/>
                <w:color w:val="333333"/>
                <w:szCs w:val="21"/>
                <w:shd w:val="clear" w:color="auto" w:fill="FFFFFF"/>
                <w:lang w:val="en-US" w:eastAsia="zh-CN"/>
              </w:rPr>
            </w:pPr>
            <w:r>
              <w:rPr>
                <w:rFonts w:hint="eastAsia" w:ascii="Tahoma" w:hAnsi="Tahoma" w:cs="Tahoma"/>
                <w:color w:val="333333"/>
                <w:szCs w:val="21"/>
                <w:shd w:val="clear" w:color="auto" w:fill="FFFFFF"/>
                <w:lang w:val="en-US" w:eastAsia="zh-CN"/>
              </w:rPr>
              <w:t>250000</w:t>
            </w:r>
          </w:p>
        </w:tc>
        <w:tc>
          <w:tcPr>
            <w:tcW w:w="1248" w:type="pct"/>
            <w:noWrap/>
            <w:vAlign w:val="center"/>
          </w:tcPr>
          <w:p>
            <w:pPr>
              <w:snapToGrid w:val="0"/>
              <w:spacing w:line="420" w:lineRule="exact"/>
              <w:jc w:val="center"/>
              <w:rPr>
                <w:rFonts w:ascii="宋体" w:hAnsi="宋体" w:cs="宋体"/>
                <w:color w:val="000000"/>
                <w:kern w:val="0"/>
                <w:sz w:val="24"/>
              </w:rPr>
            </w:pPr>
            <w:r>
              <w:rPr>
                <w:rFonts w:hint="eastAsia" w:ascii="宋体" w:hAnsi="宋体" w:cs="宋体"/>
                <w:color w:val="000000"/>
                <w:kern w:val="0"/>
                <w:sz w:val="24"/>
              </w:rPr>
              <w:t>详见第三章采购需求</w:t>
            </w:r>
          </w:p>
        </w:tc>
      </w:tr>
    </w:tbl>
    <w:p>
      <w:pPr>
        <w:widowControl/>
        <w:shd w:val="clear" w:color="auto" w:fill="FFFFFF"/>
        <w:spacing w:line="420" w:lineRule="exact"/>
        <w:ind w:firstLine="482" w:firstLineChars="200"/>
        <w:jc w:val="left"/>
        <w:rPr>
          <w:rFonts w:ascii="宋体" w:hAnsi="宋体" w:cs="宋体"/>
          <w:b/>
          <w:bCs/>
          <w:sz w:val="24"/>
        </w:rPr>
      </w:pPr>
      <w:r>
        <w:rPr>
          <w:rFonts w:hint="eastAsia" w:ascii="宋体" w:hAnsi="宋体" w:cs="宋体"/>
          <w:b/>
          <w:bCs/>
          <w:sz w:val="24"/>
        </w:rPr>
        <w:t>四、响应人资格要求</w:t>
      </w:r>
    </w:p>
    <w:p>
      <w:pPr>
        <w:spacing w:line="420" w:lineRule="exact"/>
        <w:ind w:firstLine="480" w:firstLineChars="200"/>
        <w:rPr>
          <w:rFonts w:ascii="宋体" w:hAnsi="宋体" w:cs="宋体"/>
          <w:sz w:val="24"/>
        </w:rPr>
      </w:pPr>
      <w:r>
        <w:rPr>
          <w:rFonts w:hint="eastAsia" w:ascii="宋体" w:hAnsi="宋体" w:cs="宋体"/>
          <w:sz w:val="24"/>
        </w:rPr>
        <w:t>1.符合《政府采购法》第二十二条规定的各项要求，且必须为未被列入“信用中国”网站(</w:t>
      </w:r>
      <w:r>
        <w:fldChar w:fldCharType="begin"/>
      </w:r>
      <w:r>
        <w:instrText xml:space="preserve"> HYPERLINK "http://www.creditchina.gov.cn/" </w:instrText>
      </w:r>
      <w:r>
        <w:fldChar w:fldCharType="separate"/>
      </w:r>
      <w:r>
        <w:rPr>
          <w:rFonts w:hint="eastAsia" w:ascii="宋体" w:hAnsi="宋体" w:cs="宋体"/>
          <w:sz w:val="24"/>
        </w:rPr>
        <w:t>www.creditchina.gov.cn)、中国政府采购网(</w:t>
      </w:r>
      <w:r>
        <w:rPr>
          <w:rFonts w:hint="eastAsia" w:ascii="宋体" w:hAnsi="宋体" w:cs="宋体"/>
          <w:sz w:val="24"/>
        </w:rPr>
        <w:fldChar w:fldCharType="end"/>
      </w:r>
      <w:r>
        <w:fldChar w:fldCharType="begin"/>
      </w:r>
      <w:r>
        <w:instrText xml:space="preserve"> HYPERLINK "http://www.ccgp.gov.cn/" </w:instrText>
      </w:r>
      <w:r>
        <w:fldChar w:fldCharType="separate"/>
      </w:r>
      <w:r>
        <w:rPr>
          <w:rFonts w:hint="eastAsia" w:ascii="宋体" w:hAnsi="宋体" w:cs="宋体"/>
          <w:sz w:val="24"/>
        </w:rPr>
        <w:t>www.ccgp.gov.cn)渠道信用记录失信被执行人、重大税收违法案件当事人名单、政府采购严重违法失信行为记录名单的投标人。</w:t>
      </w:r>
      <w:r>
        <w:rPr>
          <w:rFonts w:hint="eastAsia" w:ascii="宋体" w:hAnsi="宋体" w:cs="宋体"/>
          <w:sz w:val="24"/>
        </w:rPr>
        <w:fldChar w:fldCharType="end"/>
      </w:r>
    </w:p>
    <w:p>
      <w:pPr>
        <w:tabs>
          <w:tab w:val="left" w:pos="2366"/>
        </w:tabs>
        <w:snapToGrid w:val="0"/>
        <w:spacing w:line="420" w:lineRule="exact"/>
        <w:ind w:firstLine="480" w:firstLineChars="200"/>
        <w:rPr>
          <w:rFonts w:ascii="宋体" w:hAnsi="宋体" w:cs="宋体"/>
          <w:sz w:val="24"/>
        </w:rPr>
      </w:pPr>
      <w:r>
        <w:rPr>
          <w:rFonts w:hint="eastAsia" w:ascii="宋体" w:hAnsi="宋体" w:cs="宋体"/>
          <w:sz w:val="24"/>
        </w:rPr>
        <w:t>2.在中华人民共和国境内依法注册的，能承担本项目的投标响应人。</w:t>
      </w:r>
    </w:p>
    <w:p>
      <w:pPr>
        <w:snapToGrid w:val="0"/>
        <w:spacing w:line="42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3.单位负责人为同一人或者存在直接控股、管理关系的不同投标响应人，不得参加同一合同项下的政府采购活动。</w:t>
      </w:r>
    </w:p>
    <w:p>
      <w:pPr>
        <w:tabs>
          <w:tab w:val="left" w:pos="2366"/>
        </w:tabs>
        <w:spacing w:line="420" w:lineRule="exact"/>
        <w:ind w:firstLine="480" w:firstLineChars="200"/>
        <w:rPr>
          <w:rFonts w:ascii="宋体" w:hAnsi="宋体" w:cs="宋体"/>
          <w:b/>
          <w:bCs/>
          <w:color w:val="000000"/>
          <w:sz w:val="24"/>
        </w:rPr>
      </w:pPr>
      <w:r>
        <w:rPr>
          <w:rFonts w:hint="eastAsia" w:ascii="宋体" w:hAnsi="宋体" w:cs="宋体"/>
          <w:color w:val="000000"/>
          <w:sz w:val="24"/>
          <w:highlight w:val="yellow"/>
        </w:rPr>
        <w:t>4.</w:t>
      </w:r>
      <w:r>
        <w:rPr>
          <w:rFonts w:hint="eastAsia" w:ascii="宋体" w:hAnsi="宋体" w:cs="宋体"/>
          <w:color w:val="000000"/>
          <w:sz w:val="24"/>
          <w:highlight w:val="yellow"/>
          <w:lang w:eastAsia="zh-CN"/>
        </w:rPr>
        <w:t>响应</w:t>
      </w:r>
      <w:r>
        <w:rPr>
          <w:rFonts w:hint="eastAsia" w:ascii="宋体" w:hAnsi="宋体" w:cs="宋体"/>
          <w:color w:val="000000"/>
          <w:sz w:val="24"/>
          <w:highlight w:val="yellow"/>
        </w:rPr>
        <w:t>人为中小微企业/残疾人企业/监狱企业，不接受联合体投标。</w:t>
      </w:r>
    </w:p>
    <w:p>
      <w:pPr>
        <w:spacing w:line="420" w:lineRule="exact"/>
        <w:ind w:firstLine="482" w:firstLineChars="200"/>
        <w:rPr>
          <w:rFonts w:ascii="宋体" w:hAnsi="宋体" w:cs="宋体"/>
          <w:b/>
          <w:bCs/>
          <w:sz w:val="24"/>
        </w:rPr>
      </w:pPr>
      <w:r>
        <w:rPr>
          <w:rFonts w:hint="eastAsia" w:ascii="宋体" w:hAnsi="宋体" w:cs="宋体"/>
          <w:b/>
          <w:bCs/>
          <w:color w:val="000000"/>
          <w:sz w:val="24"/>
        </w:rPr>
        <w:t>五、磋商文件获取</w:t>
      </w:r>
      <w:r>
        <w:rPr>
          <w:rFonts w:hint="eastAsia" w:ascii="宋体" w:hAnsi="宋体" w:cs="宋体"/>
          <w:b/>
          <w:bCs/>
          <w:sz w:val="24"/>
        </w:rPr>
        <w:t>网址及方式</w:t>
      </w:r>
    </w:p>
    <w:p>
      <w:pPr>
        <w:widowControl/>
        <w:shd w:val="clear" w:color="auto" w:fill="FFFFFF"/>
        <w:spacing w:line="420" w:lineRule="exact"/>
        <w:ind w:firstLine="480" w:firstLineChars="200"/>
        <w:jc w:val="left"/>
        <w:rPr>
          <w:rFonts w:ascii="宋体" w:hAnsi="宋体" w:cs="宋体"/>
          <w:bCs/>
          <w:color w:val="FF0000"/>
          <w:sz w:val="24"/>
        </w:rPr>
      </w:pPr>
      <w:r>
        <w:rPr>
          <w:rFonts w:hint="eastAsia" w:ascii="宋体" w:hAnsi="宋体" w:cs="宋体"/>
          <w:color w:val="000000"/>
          <w:sz w:val="24"/>
        </w:rPr>
        <w:t>本项目无需报名。磋</w:t>
      </w:r>
      <w:r>
        <w:rPr>
          <w:rFonts w:hint="eastAsia" w:ascii="宋体" w:hAnsi="宋体" w:cs="宋体"/>
          <w:bCs/>
          <w:color w:val="000000"/>
          <w:sz w:val="24"/>
        </w:rPr>
        <w:t>商文件可在浙江政府采购网</w:t>
      </w:r>
      <w:r>
        <w:rPr>
          <w:rFonts w:hint="eastAsia" w:ascii="宋体" w:hAnsi="宋体" w:cs="宋体"/>
          <w:sz w:val="24"/>
        </w:rPr>
        <w:t>（http://zfcg.czt.zj.gov.cn/）</w:t>
      </w:r>
      <w:r>
        <w:rPr>
          <w:rFonts w:hint="eastAsia" w:ascii="宋体" w:hAnsi="宋体" w:cs="宋体"/>
          <w:color w:val="000000"/>
          <w:sz w:val="24"/>
        </w:rPr>
        <w:t>或衢州市财政局网（http://czj.qz.gov.cn）、</w:t>
      </w:r>
      <w:r>
        <w:rPr>
          <w:rFonts w:hint="eastAsia" w:ascii="宋体" w:hAnsi="宋体" w:cs="宋体"/>
          <w:bCs/>
          <w:color w:val="000000"/>
          <w:sz w:val="24"/>
        </w:rPr>
        <w:t>衢州学院信息公开网（http://xxgk.qzc.edu.cn）、衢州学院招标采购网（http://zbcg.qzc.edu.cn）免费下载。</w:t>
      </w:r>
    </w:p>
    <w:p>
      <w:pPr>
        <w:widowControl/>
        <w:shd w:val="clear" w:color="auto" w:fill="FFFFFF"/>
        <w:spacing w:line="420" w:lineRule="exact"/>
        <w:ind w:firstLine="482" w:firstLineChars="200"/>
        <w:jc w:val="left"/>
        <w:rPr>
          <w:rFonts w:ascii="宋体" w:hAnsi="宋体" w:cs="宋体"/>
          <w:b/>
          <w:bCs/>
          <w:color w:val="000000"/>
          <w:sz w:val="24"/>
        </w:rPr>
      </w:pPr>
      <w:r>
        <w:rPr>
          <w:rFonts w:hint="eastAsia" w:ascii="宋体" w:hAnsi="宋体" w:cs="宋体"/>
          <w:b/>
          <w:bCs/>
          <w:color w:val="000000"/>
          <w:sz w:val="24"/>
        </w:rPr>
        <w:t>六、递交磋商响应文件截止及磋商时间</w:t>
      </w:r>
    </w:p>
    <w:p>
      <w:pPr>
        <w:widowControl/>
        <w:shd w:val="clear" w:color="auto" w:fill="FFFFFF"/>
        <w:spacing w:line="420" w:lineRule="exact"/>
        <w:ind w:firstLine="480" w:firstLineChars="200"/>
        <w:jc w:val="left"/>
        <w:rPr>
          <w:rFonts w:ascii="宋体" w:hAnsi="宋体" w:cs="宋体"/>
          <w:b/>
          <w:bCs/>
          <w:color w:val="000000"/>
          <w:sz w:val="24"/>
        </w:rPr>
      </w:pPr>
      <w:r>
        <w:rPr>
          <w:rFonts w:hint="eastAsia" w:ascii="宋体" w:hAnsi="宋体" w:cs="宋体"/>
          <w:bCs/>
          <w:color w:val="000000"/>
          <w:sz w:val="24"/>
        </w:rPr>
        <w:t>递交响应文件截止及磋商时间：</w:t>
      </w:r>
      <w:r>
        <w:rPr>
          <w:rFonts w:hint="eastAsia" w:ascii="宋体" w:hAnsi="宋体" w:cs="宋体"/>
          <w:b/>
          <w:bCs/>
          <w:color w:val="000000"/>
          <w:sz w:val="24"/>
          <w:highlight w:val="yellow"/>
        </w:rPr>
        <w:t>2021年</w:t>
      </w:r>
      <w:r>
        <w:rPr>
          <w:rFonts w:hint="eastAsia" w:ascii="宋体" w:hAnsi="宋体" w:cs="宋体"/>
          <w:b/>
          <w:bCs/>
          <w:color w:val="000000"/>
          <w:sz w:val="24"/>
          <w:highlight w:val="yellow"/>
          <w:lang w:val="en-US" w:eastAsia="zh-CN"/>
        </w:rPr>
        <w:t>11</w:t>
      </w:r>
      <w:r>
        <w:rPr>
          <w:rFonts w:hint="eastAsia" w:ascii="宋体" w:hAnsi="宋体" w:cs="宋体"/>
          <w:b/>
          <w:bCs/>
          <w:color w:val="000000"/>
          <w:sz w:val="24"/>
          <w:highlight w:val="yellow"/>
        </w:rPr>
        <w:t>月</w:t>
      </w:r>
      <w:r>
        <w:rPr>
          <w:rFonts w:hint="eastAsia" w:ascii="宋体" w:hAnsi="宋体" w:cs="宋体"/>
          <w:b/>
          <w:bCs/>
          <w:color w:val="000000"/>
          <w:sz w:val="24"/>
          <w:highlight w:val="yellow"/>
          <w:lang w:val="en-US" w:eastAsia="zh-CN"/>
        </w:rPr>
        <w:t>1</w:t>
      </w:r>
      <w:r>
        <w:rPr>
          <w:rFonts w:hint="eastAsia" w:ascii="宋体" w:hAnsi="宋体" w:cs="宋体"/>
          <w:b/>
          <w:bCs/>
          <w:color w:val="000000"/>
          <w:sz w:val="24"/>
          <w:highlight w:val="yellow"/>
        </w:rPr>
        <w:t>日14:</w:t>
      </w:r>
      <w:r>
        <w:rPr>
          <w:rFonts w:hint="eastAsia" w:ascii="宋体" w:hAnsi="宋体" w:cs="宋体"/>
          <w:b/>
          <w:bCs/>
          <w:color w:val="000000"/>
          <w:sz w:val="24"/>
          <w:highlight w:val="yellow"/>
          <w:lang w:val="en-US" w:eastAsia="zh-CN"/>
        </w:rPr>
        <w:t>0</w:t>
      </w:r>
      <w:r>
        <w:rPr>
          <w:rFonts w:hint="eastAsia" w:ascii="宋体" w:hAnsi="宋体" w:cs="宋体"/>
          <w:b/>
          <w:bCs/>
          <w:color w:val="000000"/>
          <w:sz w:val="24"/>
          <w:highlight w:val="yellow"/>
        </w:rPr>
        <w:t>0:00时</w:t>
      </w:r>
      <w:r>
        <w:rPr>
          <w:rFonts w:hint="eastAsia" w:ascii="宋体" w:hAnsi="宋体" w:cs="宋体"/>
          <w:b/>
          <w:color w:val="000000"/>
          <w:sz w:val="24"/>
          <w:highlight w:val="yellow"/>
        </w:rPr>
        <w:t>（</w:t>
      </w:r>
      <w:r>
        <w:rPr>
          <w:rFonts w:hint="eastAsia" w:ascii="宋体" w:hAnsi="宋体" w:cs="宋体"/>
          <w:b/>
          <w:bCs/>
          <w:color w:val="000000"/>
          <w:sz w:val="24"/>
          <w:highlight w:val="yellow"/>
        </w:rPr>
        <w:t>北京时间）。</w:t>
      </w:r>
    </w:p>
    <w:p>
      <w:pPr>
        <w:widowControl/>
        <w:shd w:val="clear" w:color="auto" w:fill="FFFFFF"/>
        <w:spacing w:line="420" w:lineRule="exact"/>
        <w:ind w:firstLine="480" w:firstLineChars="200"/>
        <w:jc w:val="left"/>
        <w:rPr>
          <w:rFonts w:ascii="宋体" w:hAnsi="宋体" w:cs="宋体"/>
          <w:bCs/>
          <w:color w:val="000000"/>
          <w:sz w:val="24"/>
        </w:rPr>
      </w:pPr>
      <w:r>
        <w:rPr>
          <w:rFonts w:hint="eastAsia" w:ascii="宋体" w:hAnsi="宋体" w:cs="宋体"/>
          <w:bCs/>
          <w:color w:val="000000"/>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ascii="宋体" w:hAnsi="宋体" w:cs="宋体"/>
          <w:b/>
          <w:bCs/>
          <w:color w:val="000000"/>
          <w:sz w:val="24"/>
        </w:rPr>
      </w:pPr>
      <w:r>
        <w:rPr>
          <w:rFonts w:hint="eastAsia" w:ascii="宋体" w:hAnsi="宋体" w:cs="宋体"/>
          <w:b/>
          <w:bCs/>
          <w:color w:val="000000"/>
          <w:sz w:val="24"/>
        </w:rPr>
        <w:t>七、递交磋商响应文件地点</w:t>
      </w:r>
    </w:p>
    <w:p>
      <w:pPr>
        <w:widowControl/>
        <w:shd w:val="clear" w:color="auto" w:fill="FFFFFF"/>
        <w:spacing w:line="420" w:lineRule="exact"/>
        <w:ind w:firstLine="480" w:firstLineChars="200"/>
        <w:jc w:val="left"/>
        <w:rPr>
          <w:rFonts w:ascii="宋体" w:hAnsi="宋体" w:cs="宋体"/>
          <w:bCs/>
          <w:color w:val="000000"/>
          <w:sz w:val="24"/>
        </w:rPr>
      </w:pPr>
      <w:r>
        <w:rPr>
          <w:rFonts w:hint="eastAsia" w:ascii="宋体" w:hAnsi="宋体" w:cs="宋体"/>
          <w:bCs/>
          <w:color w:val="000000"/>
          <w:sz w:val="24"/>
        </w:rPr>
        <w:t>衢州学院行政楼开标室（121室）。</w:t>
      </w:r>
    </w:p>
    <w:p>
      <w:pPr>
        <w:widowControl/>
        <w:shd w:val="clear" w:color="auto" w:fill="FFFFFF"/>
        <w:spacing w:line="420" w:lineRule="exact"/>
        <w:ind w:firstLine="482" w:firstLineChars="200"/>
        <w:jc w:val="left"/>
        <w:rPr>
          <w:rFonts w:ascii="宋体" w:hAnsi="宋体" w:cs="宋体"/>
          <w:b/>
          <w:bCs/>
          <w:color w:val="000000"/>
          <w:sz w:val="24"/>
        </w:rPr>
      </w:pPr>
      <w:r>
        <w:rPr>
          <w:rFonts w:hint="eastAsia" w:ascii="宋体" w:hAnsi="宋体" w:cs="宋体"/>
          <w:b/>
          <w:bCs/>
          <w:color w:val="000000"/>
          <w:sz w:val="24"/>
        </w:rPr>
        <w:t>八、磋商保证金</w:t>
      </w:r>
    </w:p>
    <w:p>
      <w:pPr>
        <w:widowControl/>
        <w:spacing w:line="420" w:lineRule="exact"/>
        <w:ind w:firstLine="482"/>
        <w:rPr>
          <w:rFonts w:ascii="宋体" w:hAnsi="宋体" w:cs="宋体"/>
          <w:color w:val="000000"/>
          <w:kern w:val="0"/>
          <w:sz w:val="24"/>
        </w:rPr>
      </w:pPr>
      <w:r>
        <w:rPr>
          <w:rFonts w:hint="eastAsia" w:ascii="宋体" w:hAnsi="宋体" w:cs="宋体"/>
          <w:color w:val="000000"/>
          <w:kern w:val="0"/>
          <w:sz w:val="24"/>
        </w:rPr>
        <w:t>磋商保证金（人民币）：0元（无需交纳）</w:t>
      </w:r>
    </w:p>
    <w:p>
      <w:pPr>
        <w:widowControl/>
        <w:spacing w:line="420" w:lineRule="exact"/>
        <w:ind w:firstLine="482"/>
        <w:rPr>
          <w:rFonts w:ascii="宋体" w:hAnsi="宋体" w:cs="宋体"/>
          <w:b/>
          <w:bCs/>
          <w:color w:val="000000"/>
          <w:sz w:val="24"/>
        </w:rPr>
      </w:pPr>
      <w:r>
        <w:rPr>
          <w:rFonts w:hint="eastAsia" w:ascii="宋体" w:hAnsi="宋体" w:cs="宋体"/>
          <w:b/>
          <w:bCs/>
          <w:color w:val="000000"/>
          <w:sz w:val="24"/>
        </w:rPr>
        <w:t>九、其他事项</w:t>
      </w:r>
    </w:p>
    <w:p>
      <w:pPr>
        <w:widowControl/>
        <w:spacing w:line="420" w:lineRule="exact"/>
        <w:ind w:firstLine="482"/>
        <w:rPr>
          <w:rFonts w:ascii="宋体" w:hAnsi="宋体" w:cs="宋体"/>
          <w:kern w:val="0"/>
          <w:sz w:val="24"/>
        </w:rPr>
      </w:pPr>
      <w:r>
        <w:rPr>
          <w:rFonts w:hint="eastAsia" w:ascii="宋体" w:hAnsi="宋体" w:cs="宋体"/>
          <w:bCs/>
          <w:color w:val="000000"/>
          <w:sz w:val="24"/>
        </w:rPr>
        <w:t>（一）</w:t>
      </w:r>
      <w:r>
        <w:rPr>
          <w:rFonts w:hint="eastAsia" w:ascii="宋体" w:hAnsi="宋体" w:cs="宋体"/>
          <w:kern w:val="0"/>
          <w:sz w:val="24"/>
        </w:rPr>
        <w:t xml:space="preserve"> 本公告自发布之日起公告期限为3个工作日。</w:t>
      </w:r>
    </w:p>
    <w:p>
      <w:pPr>
        <w:pStyle w:val="7"/>
        <w:snapToGrid w:val="0"/>
        <w:spacing w:line="420" w:lineRule="exact"/>
        <w:ind w:firstLine="480" w:firstLineChars="200"/>
        <w:rPr>
          <w:rFonts w:hAnsi="宋体" w:cs="宋体"/>
          <w:color w:val="000000"/>
          <w:kern w:val="2"/>
          <w:sz w:val="24"/>
          <w:szCs w:val="24"/>
        </w:rPr>
      </w:pPr>
      <w:r>
        <w:rPr>
          <w:rFonts w:hint="eastAsia" w:hAnsi="宋体" w:cs="宋体"/>
          <w:sz w:val="24"/>
        </w:rPr>
        <w:t>（二）</w:t>
      </w: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tabs>
          <w:tab w:val="left" w:pos="2366"/>
        </w:tabs>
        <w:spacing w:line="420" w:lineRule="exact"/>
        <w:ind w:firstLine="482" w:firstLineChars="200"/>
        <w:rPr>
          <w:rFonts w:ascii="宋体" w:hAnsi="宋体" w:cs="宋体"/>
          <w:b/>
          <w:bCs/>
          <w:color w:val="000000"/>
          <w:sz w:val="24"/>
        </w:rPr>
      </w:pPr>
      <w:r>
        <w:rPr>
          <w:rFonts w:hint="eastAsia" w:ascii="宋体" w:hAnsi="宋体" w:cs="宋体"/>
          <w:b/>
          <w:bCs/>
          <w:color w:val="000000"/>
          <w:sz w:val="24"/>
        </w:rPr>
        <w:t>十、响应人在响应过程中的一切费用自负。</w:t>
      </w:r>
    </w:p>
    <w:p>
      <w:pPr>
        <w:tabs>
          <w:tab w:val="left" w:pos="2366"/>
        </w:tabs>
        <w:spacing w:line="420" w:lineRule="exact"/>
        <w:ind w:firstLine="495"/>
        <w:rPr>
          <w:rFonts w:ascii="宋体" w:hAnsi="宋体" w:cs="宋体"/>
          <w:b/>
          <w:bCs/>
          <w:color w:val="000000"/>
          <w:sz w:val="24"/>
        </w:rPr>
      </w:pPr>
      <w:r>
        <w:rPr>
          <w:rFonts w:hint="eastAsia" w:ascii="宋体" w:hAnsi="宋体" w:cs="宋体"/>
          <w:b/>
          <w:bCs/>
          <w:color w:val="000000"/>
          <w:sz w:val="24"/>
        </w:rPr>
        <w:t>十一、本公告发布网址：</w:t>
      </w:r>
    </w:p>
    <w:p>
      <w:pPr>
        <w:tabs>
          <w:tab w:val="left" w:pos="2366"/>
        </w:tabs>
        <w:spacing w:line="420" w:lineRule="exact"/>
        <w:ind w:firstLine="495"/>
        <w:rPr>
          <w:rFonts w:ascii="宋体" w:hAnsi="宋体" w:cs="宋体"/>
          <w:b/>
          <w:bCs/>
          <w:color w:val="000000"/>
          <w:sz w:val="24"/>
        </w:rPr>
      </w:pPr>
      <w:r>
        <w:rPr>
          <w:rFonts w:hint="eastAsia" w:ascii="宋体" w:hAnsi="宋体" w:cs="宋体"/>
          <w:b/>
          <w:bCs/>
          <w:color w:val="000000"/>
          <w:sz w:val="24"/>
        </w:rPr>
        <w:t>浙江政府采</w:t>
      </w:r>
      <w:r>
        <w:rPr>
          <w:rFonts w:hint="eastAsia" w:ascii="宋体" w:hAnsi="宋体" w:cs="宋体"/>
          <w:b/>
          <w:bCs/>
          <w:color w:val="000000"/>
          <w:kern w:val="0"/>
          <w:sz w:val="24"/>
        </w:rPr>
        <w:t>购网</w:t>
      </w:r>
      <w:r>
        <w:rPr>
          <w:rFonts w:hint="eastAsia" w:ascii="宋体" w:hAnsi="宋体" w:cs="宋体"/>
          <w:b/>
          <w:bCs/>
          <w:sz w:val="24"/>
        </w:rPr>
        <w:t>（http://zfcg.czt.zj.gov.cn/）</w:t>
      </w:r>
      <w:r>
        <w:rPr>
          <w:rFonts w:hint="eastAsia" w:ascii="宋体" w:hAnsi="宋体" w:cs="宋体"/>
          <w:b/>
          <w:bCs/>
          <w:color w:val="000000"/>
          <w:sz w:val="24"/>
        </w:rPr>
        <w:t>；</w:t>
      </w:r>
    </w:p>
    <w:p>
      <w:pPr>
        <w:tabs>
          <w:tab w:val="left" w:pos="2366"/>
        </w:tabs>
        <w:spacing w:line="420" w:lineRule="exact"/>
        <w:ind w:firstLine="495"/>
        <w:rPr>
          <w:rFonts w:ascii="宋体" w:hAnsi="宋体" w:cs="宋体"/>
          <w:b/>
          <w:bCs/>
          <w:color w:val="000000"/>
          <w:sz w:val="24"/>
        </w:rPr>
      </w:pPr>
      <w:r>
        <w:rPr>
          <w:rFonts w:hint="eastAsia" w:ascii="宋体" w:hAnsi="宋体" w:cs="宋体"/>
          <w:b/>
          <w:bCs/>
          <w:color w:val="000000"/>
          <w:sz w:val="24"/>
        </w:rPr>
        <w:t>衢州市财政局网（http://czj.qz.gov.cn）；</w:t>
      </w:r>
    </w:p>
    <w:p>
      <w:pPr>
        <w:tabs>
          <w:tab w:val="left" w:pos="2366"/>
        </w:tabs>
        <w:spacing w:line="420" w:lineRule="exact"/>
        <w:ind w:firstLine="495"/>
        <w:rPr>
          <w:rFonts w:ascii="宋体" w:hAnsi="宋体" w:cs="宋体"/>
          <w:b/>
          <w:bCs/>
          <w:color w:val="000000"/>
          <w:kern w:val="0"/>
          <w:sz w:val="24"/>
        </w:rPr>
      </w:pPr>
      <w:r>
        <w:rPr>
          <w:rFonts w:hint="eastAsia" w:ascii="宋体" w:hAnsi="宋体" w:cs="宋体"/>
          <w:b/>
          <w:bCs/>
          <w:color w:val="000000"/>
          <w:kern w:val="0"/>
          <w:sz w:val="24"/>
        </w:rPr>
        <w:t>衢州学院信息公开网（http://xxgk.qzc.edu.cn）；</w:t>
      </w:r>
    </w:p>
    <w:p>
      <w:pPr>
        <w:tabs>
          <w:tab w:val="left" w:pos="2366"/>
        </w:tabs>
        <w:spacing w:line="420" w:lineRule="exact"/>
        <w:ind w:firstLine="495"/>
        <w:rPr>
          <w:rFonts w:ascii="宋体" w:hAnsi="宋体" w:cs="宋体"/>
          <w:b/>
          <w:bCs/>
          <w:color w:val="000000"/>
          <w:sz w:val="24"/>
        </w:rPr>
      </w:pPr>
      <w:r>
        <w:rPr>
          <w:rFonts w:hint="eastAsia" w:ascii="宋体" w:hAnsi="宋体" w:cs="宋体"/>
          <w:b/>
          <w:color w:val="000000"/>
          <w:sz w:val="24"/>
        </w:rPr>
        <w:t>衢州学院招标采购网（</w:t>
      </w:r>
      <w:r>
        <w:rPr>
          <w:rFonts w:hint="eastAsia" w:ascii="宋体" w:hAnsi="宋体" w:cs="宋体"/>
          <w:b/>
          <w:bCs/>
          <w:color w:val="000000"/>
          <w:kern w:val="0"/>
          <w:sz w:val="24"/>
        </w:rPr>
        <w:t>http://zbcg.qzc.edu.cn）</w:t>
      </w:r>
      <w:r>
        <w:rPr>
          <w:rFonts w:hint="eastAsia" w:ascii="宋体" w:hAnsi="宋体" w:cs="宋体"/>
          <w:b/>
          <w:bCs/>
          <w:color w:val="000000"/>
          <w:sz w:val="24"/>
        </w:rPr>
        <w:t>。</w:t>
      </w:r>
    </w:p>
    <w:p>
      <w:pPr>
        <w:tabs>
          <w:tab w:val="left" w:pos="2366"/>
        </w:tabs>
        <w:spacing w:line="420" w:lineRule="exact"/>
        <w:ind w:firstLine="495"/>
        <w:rPr>
          <w:rFonts w:ascii="宋体" w:hAnsi="宋体" w:cs="宋体"/>
          <w:b/>
          <w:bCs/>
          <w:color w:val="000000"/>
          <w:sz w:val="24"/>
        </w:rPr>
      </w:pPr>
      <w:r>
        <w:rPr>
          <w:rFonts w:hint="eastAsia" w:ascii="宋体" w:hAnsi="宋体" w:cs="宋体"/>
          <w:b/>
          <w:bCs/>
          <w:color w:val="000000"/>
          <w:sz w:val="24"/>
        </w:rPr>
        <w:t>十二、本磋商文件由衢州学院采购中心、</w:t>
      </w:r>
      <w:r>
        <w:rPr>
          <w:rFonts w:hint="eastAsia" w:ascii="宋体" w:hAnsi="宋体" w:cs="宋体"/>
          <w:b/>
          <w:bCs/>
          <w:color w:val="000000"/>
          <w:sz w:val="24"/>
          <w:highlight w:val="none"/>
        </w:rPr>
        <w:t>电信学院</w:t>
      </w:r>
      <w:r>
        <w:rPr>
          <w:rFonts w:hint="eastAsia" w:ascii="宋体" w:hAnsi="宋体" w:cs="宋体"/>
          <w:b/>
          <w:bCs/>
          <w:color w:val="000000"/>
          <w:sz w:val="24"/>
        </w:rPr>
        <w:t>负责解释。</w:t>
      </w:r>
    </w:p>
    <w:p>
      <w:pPr>
        <w:tabs>
          <w:tab w:val="left" w:pos="2366"/>
        </w:tabs>
        <w:spacing w:line="420" w:lineRule="exact"/>
        <w:ind w:left="645" w:leftChars="250" w:hanging="120" w:hangingChars="50"/>
        <w:rPr>
          <w:rFonts w:ascii="宋体" w:hAnsi="宋体" w:cs="宋体"/>
          <w:color w:val="000000"/>
          <w:sz w:val="24"/>
        </w:rPr>
      </w:pPr>
      <w:r>
        <w:rPr>
          <w:rFonts w:hint="eastAsia" w:ascii="宋体" w:hAnsi="宋体" w:cs="宋体"/>
          <w:b/>
          <w:bCs/>
          <w:color w:val="000000"/>
          <w:sz w:val="24"/>
        </w:rPr>
        <w:t>十三、联系方式</w:t>
      </w:r>
    </w:p>
    <w:p>
      <w:pPr>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采购人名称：衢州学院 </w:t>
      </w:r>
    </w:p>
    <w:p>
      <w:pPr>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联系地址：浙江省衢州市九华北大道78号；邮政编码：324000。 </w:t>
      </w:r>
    </w:p>
    <w:p>
      <w:pPr>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采购中心联系人：周老师；电话：0570-8015042</w:t>
      </w:r>
      <w:r>
        <w:rPr>
          <w:rFonts w:hint="eastAsia" w:ascii="宋体" w:hAnsi="宋体" w:cs="宋体"/>
          <w:color w:val="000000"/>
          <w:kern w:val="0"/>
          <w:sz w:val="24"/>
          <w:lang w:val="en-US" w:eastAsia="zh-CN"/>
        </w:rPr>
        <w:t>,18957039862</w:t>
      </w:r>
      <w:r>
        <w:rPr>
          <w:rFonts w:hint="eastAsia" w:ascii="宋体" w:hAnsi="宋体" w:cs="宋体"/>
          <w:color w:val="000000"/>
          <w:kern w:val="0"/>
          <w:sz w:val="24"/>
        </w:rPr>
        <w:t xml:space="preserve">。 </w:t>
      </w:r>
    </w:p>
    <w:p>
      <w:pPr>
        <w:spacing w:line="420" w:lineRule="exact"/>
        <w:ind w:firstLine="480" w:firstLineChars="200"/>
        <w:rPr>
          <w:rFonts w:ascii="宋体" w:hAnsi="宋体" w:cs="宋体"/>
          <w:kern w:val="0"/>
          <w:sz w:val="24"/>
        </w:rPr>
      </w:pPr>
      <w:r>
        <w:rPr>
          <w:rFonts w:hint="eastAsia" w:ascii="宋体" w:hAnsi="宋体" w:cs="宋体"/>
          <w:kern w:val="0"/>
          <w:sz w:val="24"/>
        </w:rPr>
        <w:t>质疑答复联系人：郑老师；电话：0570-8015028</w:t>
      </w:r>
      <w:r>
        <w:rPr>
          <w:rFonts w:hint="eastAsia" w:ascii="宋体" w:hAnsi="宋体" w:cs="宋体"/>
          <w:kern w:val="0"/>
          <w:sz w:val="24"/>
          <w:lang w:val="en-US" w:eastAsia="zh-CN"/>
        </w:rPr>
        <w:t>,</w:t>
      </w:r>
      <w:r>
        <w:rPr>
          <w:rFonts w:hint="eastAsia" w:ascii="宋体" w:hAnsi="宋体" w:eastAsia="宋体" w:cs="宋体"/>
          <w:color w:val="000000" w:themeColor="text1"/>
          <w:kern w:val="0"/>
          <w:sz w:val="24"/>
          <w14:textFill>
            <w14:solidFill>
              <w14:schemeClr w14:val="tx1"/>
            </w14:solidFill>
          </w14:textFill>
        </w:rPr>
        <w:t>13567021518</w:t>
      </w:r>
      <w:r>
        <w:rPr>
          <w:rFonts w:hint="eastAsia" w:ascii="宋体" w:hAnsi="宋体" w:cs="宋体"/>
          <w:kern w:val="0"/>
          <w:sz w:val="24"/>
        </w:rPr>
        <w:t>。</w:t>
      </w:r>
    </w:p>
    <w:p>
      <w:pPr>
        <w:spacing w:line="420" w:lineRule="exact"/>
        <w:ind w:right="480" w:firstLine="480" w:firstLineChars="200"/>
        <w:rPr>
          <w:rFonts w:ascii="宋体" w:hAnsi="宋体" w:cs="宋体"/>
          <w:bCs/>
          <w:sz w:val="24"/>
        </w:rPr>
      </w:pPr>
      <w:r>
        <w:rPr>
          <w:rFonts w:hint="eastAsia" w:ascii="宋体" w:hAnsi="宋体" w:cs="宋体"/>
          <w:kern w:val="0"/>
          <w:sz w:val="24"/>
        </w:rPr>
        <w:t>项目技术答疑联系人：陈磊老师，电话：</w:t>
      </w:r>
      <w:r>
        <w:rPr>
          <w:rFonts w:ascii="宋体" w:hAnsi="宋体" w:cs="宋体"/>
          <w:kern w:val="0"/>
          <w:sz w:val="24"/>
        </w:rPr>
        <w:t>13967020016</w:t>
      </w:r>
      <w:r>
        <w:rPr>
          <w:rFonts w:hint="eastAsia" w:ascii="宋体" w:hAnsi="宋体" w:cs="宋体"/>
          <w:kern w:val="0"/>
          <w:sz w:val="24"/>
        </w:rPr>
        <w:t>。</w:t>
      </w:r>
    </w:p>
    <w:p>
      <w:pPr>
        <w:spacing w:line="420" w:lineRule="exact"/>
        <w:ind w:firstLine="5400" w:firstLineChars="2250"/>
        <w:jc w:val="right"/>
        <w:rPr>
          <w:rFonts w:ascii="宋体" w:hAnsi="宋体" w:cs="宋体"/>
          <w:bCs/>
          <w:color w:val="000000"/>
          <w:sz w:val="24"/>
        </w:rPr>
      </w:pPr>
    </w:p>
    <w:p>
      <w:pPr>
        <w:spacing w:line="420" w:lineRule="exact"/>
        <w:ind w:firstLine="5400" w:firstLineChars="2250"/>
        <w:jc w:val="center"/>
        <w:rPr>
          <w:rFonts w:ascii="宋体" w:hAnsi="宋体" w:cs="宋体"/>
          <w:bCs/>
          <w:color w:val="000000"/>
          <w:sz w:val="24"/>
        </w:rPr>
      </w:pPr>
      <w:r>
        <w:rPr>
          <w:rFonts w:hint="eastAsia" w:ascii="宋体" w:hAnsi="宋体" w:cs="宋体"/>
          <w:bCs/>
          <w:color w:val="000000"/>
          <w:sz w:val="24"/>
          <w:lang w:val="en-US" w:eastAsia="zh-CN"/>
        </w:rPr>
        <w:t xml:space="preserve">       </w:t>
      </w:r>
      <w:r>
        <w:rPr>
          <w:rFonts w:hint="eastAsia" w:ascii="宋体" w:hAnsi="宋体" w:cs="宋体"/>
          <w:bCs/>
          <w:color w:val="000000"/>
          <w:sz w:val="24"/>
        </w:rPr>
        <w:t>衢州学院采购中心</w:t>
      </w:r>
    </w:p>
    <w:p>
      <w:pPr>
        <w:spacing w:line="420" w:lineRule="exact"/>
        <w:ind w:right="120" w:firstLine="5400" w:firstLineChars="2250"/>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2021年10月</w:t>
      </w:r>
      <w:r>
        <w:rPr>
          <w:rFonts w:hint="eastAsia" w:ascii="宋体" w:hAnsi="宋体" w:cs="宋体"/>
          <w:bCs/>
          <w:color w:val="000000" w:themeColor="text1"/>
          <w:sz w:val="24"/>
          <w:lang w:val="en-US" w:eastAsia="zh-CN"/>
          <w14:textFill>
            <w14:solidFill>
              <w14:schemeClr w14:val="tx1"/>
            </w14:solidFill>
          </w14:textFill>
        </w:rPr>
        <w:t>20</w:t>
      </w:r>
      <w:r>
        <w:rPr>
          <w:rFonts w:hint="eastAsia" w:ascii="宋体" w:hAnsi="宋体" w:cs="宋体"/>
          <w:bCs/>
          <w:color w:val="000000" w:themeColor="text1"/>
          <w:sz w:val="24"/>
          <w14:textFill>
            <w14:solidFill>
              <w14:schemeClr w14:val="tx1"/>
            </w14:solidFill>
          </w14:textFill>
        </w:rPr>
        <w:t xml:space="preserve">日    </w:t>
      </w:r>
    </w:p>
    <w:p>
      <w:pPr>
        <w:rPr>
          <w:shd w:val="pct10" w:color="auto" w:fill="FFFFFF"/>
        </w:rPr>
      </w:pPr>
      <w:r>
        <w:br w:type="page"/>
      </w:r>
    </w:p>
    <w:p>
      <w:pPr>
        <w:pStyle w:val="2"/>
        <w:jc w:val="center"/>
        <w:rPr>
          <w:sz w:val="32"/>
          <w:szCs w:val="32"/>
        </w:rPr>
      </w:pPr>
      <w:r>
        <w:rPr>
          <w:rFonts w:hint="eastAsia"/>
          <w:sz w:val="32"/>
          <w:szCs w:val="32"/>
        </w:rPr>
        <w:t>第二章响应人须知</w:t>
      </w:r>
    </w:p>
    <w:p>
      <w:pPr>
        <w:adjustRightInd w:val="0"/>
        <w:snapToGrid w:val="0"/>
        <w:spacing w:line="360" w:lineRule="auto"/>
        <w:ind w:firstLine="593" w:firstLineChars="246"/>
        <w:rPr>
          <w:rFonts w:ascii="宋体" w:hAnsi="宋体" w:cs="宋体"/>
          <w:b/>
          <w:color w:val="000000"/>
          <w:sz w:val="24"/>
        </w:rPr>
      </w:pPr>
      <w:r>
        <w:rPr>
          <w:rFonts w:hint="eastAsia" w:ascii="宋体" w:hAnsi="宋体" w:cs="宋体"/>
          <w:b/>
          <w:color w:val="000000"/>
          <w:sz w:val="24"/>
        </w:rPr>
        <w:t>一、总则</w:t>
      </w:r>
    </w:p>
    <w:p>
      <w:pPr>
        <w:adjustRightInd w:val="0"/>
        <w:snapToGrid w:val="0"/>
        <w:spacing w:line="360" w:lineRule="auto"/>
        <w:ind w:firstLine="472" w:firstLineChars="196"/>
        <w:rPr>
          <w:rFonts w:ascii="宋体" w:hAnsi="宋体" w:cs="宋体"/>
          <w:bCs/>
          <w:color w:val="000000"/>
          <w:sz w:val="24"/>
        </w:rPr>
      </w:pPr>
      <w:r>
        <w:rPr>
          <w:rFonts w:hint="eastAsia" w:ascii="宋体" w:hAnsi="宋体" w:cs="宋体"/>
          <w:b/>
          <w:bCs/>
          <w:color w:val="000000"/>
          <w:sz w:val="24"/>
        </w:rPr>
        <w:t>（一）</w:t>
      </w:r>
      <w:r>
        <w:rPr>
          <w:rFonts w:hint="eastAsia" w:ascii="宋体" w:hAnsi="宋体" w:cs="宋体"/>
          <w:b/>
          <w:color w:val="000000"/>
          <w:sz w:val="24"/>
        </w:rPr>
        <w:t>适用范围</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仅适用于本次竞争性磋商文件中的采购项目。</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 xml:space="preserve">    （二）定义</w:t>
      </w:r>
    </w:p>
    <w:p>
      <w:pPr>
        <w:adjustRightInd w:val="0"/>
        <w:snapToGrid w:val="0"/>
        <w:spacing w:line="360" w:lineRule="auto"/>
        <w:ind w:firstLine="480"/>
        <w:rPr>
          <w:rFonts w:ascii="宋体" w:hAnsi="宋体" w:cs="宋体"/>
          <w:color w:val="000000"/>
          <w:sz w:val="24"/>
        </w:rPr>
      </w:pPr>
      <w:r>
        <w:rPr>
          <w:rFonts w:hint="eastAsia" w:ascii="宋体" w:hAnsi="宋体" w:cs="宋体"/>
          <w:color w:val="000000"/>
          <w:sz w:val="24"/>
        </w:rPr>
        <w:t>1.“采购人”系指组织本次磋商的衢州学院。</w:t>
      </w:r>
    </w:p>
    <w:p>
      <w:pPr>
        <w:adjustRightInd w:val="0"/>
        <w:snapToGrid w:val="0"/>
        <w:spacing w:line="360" w:lineRule="auto"/>
        <w:ind w:firstLine="480"/>
        <w:rPr>
          <w:rFonts w:ascii="宋体" w:hAnsi="宋体" w:cs="宋体"/>
          <w:color w:val="000000"/>
          <w:sz w:val="24"/>
        </w:rPr>
      </w:pPr>
      <w:r>
        <w:rPr>
          <w:rFonts w:hint="eastAsia" w:ascii="宋体" w:hAnsi="宋体" w:cs="宋体"/>
          <w:color w:val="000000"/>
          <w:sz w:val="24"/>
        </w:rPr>
        <w:t>2.“响应人”系指向采购人提交磋商响应文件</w:t>
      </w:r>
      <w:r>
        <w:rPr>
          <w:rFonts w:hint="eastAsia" w:ascii="宋体" w:hAnsi="宋体" w:cs="仿宋_GB2312"/>
          <w:color w:val="000000"/>
          <w:sz w:val="24"/>
        </w:rPr>
        <w:t>各供应商。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6.“项目”系指磋商响应方按磋商文件规定向采购人提供的产品和服务。</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7.“▲”系指实质性要求条款。</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8.转包与分包：本项目不允许转包。分包须经采购人书面同意后方可实施。</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9.特别说明：</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响应人在响应活动中提供任何虚假材料,其响应无效，并报监管部门查处；成交后发现的,成交人须依照《中华人民共和国消费者权益保护法》第49条之规定双倍赔偿采购人，且民事赔偿并不免除违法响应人的行政与刑事责任。</w:t>
      </w:r>
    </w:p>
    <w:p>
      <w:pPr>
        <w:ind w:left="420" w:firstLine="60"/>
      </w:pPr>
      <w:r>
        <w:rPr>
          <w:rFonts w:hint="eastAsia"/>
        </w:rPr>
        <w:t>（3）成交供应商可凭本项目成交合同向银行机构办理贷款业务。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（三）采购方式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本次采购采用竞争性磋商方式进行。</w:t>
      </w:r>
    </w:p>
    <w:p>
      <w:pPr>
        <w:adjustRightInd w:val="0"/>
        <w:snapToGrid w:val="0"/>
        <w:spacing w:line="360" w:lineRule="auto"/>
        <w:ind w:firstLine="472" w:firstLineChars="196"/>
        <w:rPr>
          <w:rFonts w:ascii="宋体" w:hAnsi="宋体" w:cs="宋体"/>
          <w:bCs/>
          <w:color w:val="000000"/>
          <w:kern w:val="0"/>
          <w:sz w:val="24"/>
        </w:rPr>
      </w:pPr>
      <w:r>
        <w:rPr>
          <w:rFonts w:hint="eastAsia" w:ascii="宋体" w:hAnsi="宋体" w:cs="宋体"/>
          <w:b/>
          <w:color w:val="000000"/>
          <w:sz w:val="24"/>
        </w:rPr>
        <w:t>（四）</w:t>
      </w:r>
      <w:r>
        <w:rPr>
          <w:rFonts w:hint="eastAsia" w:ascii="宋体" w:hAnsi="宋体" w:cs="宋体"/>
          <w:b/>
          <w:color w:val="000000"/>
          <w:kern w:val="0"/>
          <w:sz w:val="24"/>
        </w:rPr>
        <w:t>磋商相关费用</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无论竞争性磋商结果如何，磋商</w:t>
      </w:r>
      <w:r>
        <w:rPr>
          <w:rFonts w:hint="eastAsia" w:ascii="宋体" w:hAnsi="宋体" w:cs="宋体"/>
          <w:bCs/>
          <w:color w:val="000000"/>
          <w:sz w:val="24"/>
        </w:rPr>
        <w:t>响</w:t>
      </w:r>
      <w:r>
        <w:rPr>
          <w:rFonts w:hint="eastAsia" w:ascii="宋体" w:hAnsi="宋体" w:cs="宋体"/>
          <w:color w:val="000000"/>
          <w:sz w:val="24"/>
        </w:rPr>
        <w:t>应人均应自行承担所有与磋商响应有关的全部费用。</w:t>
      </w:r>
    </w:p>
    <w:p>
      <w:pPr>
        <w:pStyle w:val="7"/>
        <w:snapToGrid w:val="0"/>
        <w:spacing w:line="360" w:lineRule="auto"/>
        <w:ind w:firstLine="472" w:firstLineChars="196"/>
        <w:outlineLvl w:val="1"/>
        <w:rPr>
          <w:rFonts w:hAnsi="宋体" w:cs="宋体"/>
          <w:b/>
          <w:color w:val="000000"/>
          <w:sz w:val="24"/>
        </w:rPr>
      </w:pPr>
      <w:r>
        <w:rPr>
          <w:rFonts w:hint="eastAsia" w:hAnsi="宋体" w:cs="宋体"/>
          <w:b/>
          <w:color w:val="000000"/>
          <w:sz w:val="24"/>
        </w:rPr>
        <w:t>（五）磋商文件的澄清与修改</w:t>
      </w:r>
    </w:p>
    <w:p>
      <w:pPr>
        <w:keepNext w:val="0"/>
        <w:keepLines w:val="0"/>
        <w:pageBreakBefore w:val="0"/>
        <w:kinsoku/>
        <w:wordWrap/>
        <w:topLinePunct w:val="0"/>
        <w:bidi w:val="0"/>
        <w:snapToGrid w:val="0"/>
        <w:spacing w:line="360" w:lineRule="auto"/>
        <w:ind w:firstLine="472" w:firstLineChars="196"/>
        <w:jc w:val="left"/>
        <w:outlineLvl w:val="1"/>
        <w:rPr>
          <w:rFonts w:ascii="宋体" w:hAnsi="宋体" w:cs="宋体"/>
          <w:b/>
          <w:color w:val="000000"/>
          <w:sz w:val="24"/>
        </w:rPr>
      </w:pPr>
      <w:r>
        <w:rPr>
          <w:rFonts w:hint="eastAsia" w:ascii="宋体" w:hAnsi="宋体" w:cs="宋体"/>
          <w:b/>
          <w:color w:val="000000"/>
          <w:sz w:val="24"/>
        </w:rPr>
        <w:t>1.响应人应认真阅读本磋商文件，发现其中有误或有不合理要求的，磋商响应方应当在磋商响应截止之日三个工作日前以书面形式向衢州学院采购中心提出，逾期不予受理。</w:t>
      </w:r>
    </w:p>
    <w:p>
      <w:pPr>
        <w:pStyle w:val="7"/>
        <w:keepNext w:val="0"/>
        <w:keepLines w:val="0"/>
        <w:pageBreakBefore w:val="0"/>
        <w:kinsoku/>
        <w:wordWrap/>
        <w:topLinePunct w:val="0"/>
        <w:bidi w:val="0"/>
        <w:snapToGrid w:val="0"/>
        <w:spacing w:line="360" w:lineRule="auto"/>
        <w:ind w:firstLine="480" w:firstLineChars="200"/>
        <w:rPr>
          <w:rFonts w:hAnsi="宋体" w:cs="宋体"/>
          <w:color w:val="000000"/>
          <w:sz w:val="24"/>
        </w:rPr>
      </w:pPr>
      <w:r>
        <w:rPr>
          <w:rFonts w:hint="eastAsia" w:hAnsi="宋体" w:cs="宋体"/>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360" w:lineRule="auto"/>
        <w:ind w:firstLine="470" w:firstLineChars="196"/>
        <w:jc w:val="left"/>
        <w:outlineLvl w:val="1"/>
        <w:rPr>
          <w:rFonts w:ascii="宋体" w:hAnsi="宋体" w:cs="宋体"/>
          <w:color w:val="000000"/>
          <w:sz w:val="24"/>
        </w:rPr>
      </w:pPr>
      <w:r>
        <w:rPr>
          <w:rFonts w:hint="eastAsia" w:ascii="宋体" w:hAnsi="宋体" w:cs="宋体"/>
          <w:color w:val="000000"/>
          <w:sz w:val="24"/>
        </w:rPr>
        <w:t>3.磋商文件澄清、答复、修改、补充的内容为磋商文件的组成部分。</w:t>
      </w:r>
    </w:p>
    <w:p>
      <w:pPr>
        <w:pStyle w:val="7"/>
        <w:keepNext w:val="0"/>
        <w:keepLines w:val="0"/>
        <w:pageBreakBefore w:val="0"/>
        <w:kinsoku/>
        <w:wordWrap/>
        <w:topLinePunct w:val="0"/>
        <w:bidi w:val="0"/>
        <w:snapToGrid w:val="0"/>
        <w:spacing w:line="360" w:lineRule="auto"/>
        <w:ind w:firstLine="472" w:firstLineChars="196"/>
        <w:outlineLvl w:val="1"/>
        <w:rPr>
          <w:rFonts w:hAnsi="宋体" w:cs="宋体"/>
          <w:b/>
          <w:color w:val="000000"/>
          <w:sz w:val="24"/>
        </w:rPr>
      </w:pPr>
      <w:r>
        <w:rPr>
          <w:rFonts w:hint="eastAsia" w:hAnsi="宋体" w:cs="宋体"/>
          <w:b/>
          <w:color w:val="000000"/>
          <w:sz w:val="24"/>
        </w:rPr>
        <w:t>（六）质疑与投诉</w:t>
      </w:r>
    </w:p>
    <w:p>
      <w:pPr>
        <w:keepNext w:val="0"/>
        <w:keepLines w:val="0"/>
        <w:pageBreakBefore w:val="0"/>
        <w:tabs>
          <w:tab w:val="left" w:pos="2366"/>
        </w:tabs>
        <w:kinsoku/>
        <w:wordWrap/>
        <w:topLinePunct w:val="0"/>
        <w:bidi w:val="0"/>
        <w:spacing w:line="360" w:lineRule="auto"/>
        <w:ind w:firstLine="495"/>
        <w:rPr>
          <w:rFonts w:ascii="宋体" w:hAnsi="宋体" w:cs="宋体"/>
          <w:bCs/>
          <w:color w:val="FF0000"/>
          <w:sz w:val="24"/>
        </w:rPr>
      </w:pPr>
      <w:r>
        <w:rPr>
          <w:rFonts w:hint="eastAsia" w:ascii="宋体" w:hAnsi="宋体" w:cs="宋体"/>
          <w:bCs/>
          <w:color w:val="FF0000"/>
          <w:sz w:val="24"/>
        </w:rPr>
        <w:t>1.响应人如认为采购过程和中标结果使自身的合法权益受到损害的，可以在知道或者应知其权益受到损害之日起七个工作日内，</w:t>
      </w:r>
      <w:r>
        <w:rPr>
          <w:rFonts w:hint="eastAsia" w:ascii="宋体" w:hAnsi="宋体" w:cs="宋体"/>
          <w:color w:val="FF0000"/>
          <w:sz w:val="24"/>
        </w:rPr>
        <w:t>以书面形式向衢州学院采购管理办公室提出质疑（联系人：郑老师，联系电话：0570-8015028）</w:t>
      </w:r>
      <w:r>
        <w:rPr>
          <w:rFonts w:hint="eastAsia" w:ascii="宋体" w:hAnsi="宋体" w:cs="宋体"/>
          <w:bCs/>
          <w:color w:val="FF0000"/>
          <w:sz w:val="24"/>
        </w:rPr>
        <w:t>；响应人对采购办的质疑答复不满意或其未在规定时间内作出答复的，可以在答复期满后十五个工作日内向</w:t>
      </w:r>
      <w:r>
        <w:rPr>
          <w:rFonts w:hint="eastAsia" w:ascii="宋体" w:hAnsi="宋体" w:cs="宋体"/>
          <w:color w:val="FF0000"/>
          <w:sz w:val="24"/>
        </w:rPr>
        <w:t>纪检监察室</w:t>
      </w:r>
      <w:r>
        <w:rPr>
          <w:rFonts w:hint="eastAsia" w:ascii="宋体" w:hAnsi="宋体" w:cs="宋体"/>
          <w:bCs/>
          <w:color w:val="FF0000"/>
          <w:sz w:val="24"/>
        </w:rPr>
        <w:t>投诉</w:t>
      </w:r>
      <w:r>
        <w:rPr>
          <w:rFonts w:hint="eastAsia" w:ascii="宋体" w:hAnsi="宋体" w:cs="宋体"/>
          <w:color w:val="FF0000"/>
          <w:sz w:val="24"/>
        </w:rPr>
        <w:t>（联系人：吴老师，联系电话：0570-8028406）</w:t>
      </w:r>
      <w:r>
        <w:rPr>
          <w:rFonts w:hint="eastAsia" w:ascii="宋体" w:hAnsi="宋体" w:cs="宋体"/>
          <w:bCs/>
          <w:color w:val="FF0000"/>
          <w:sz w:val="24"/>
        </w:rPr>
        <w:t>。</w:t>
      </w:r>
    </w:p>
    <w:p>
      <w:pPr>
        <w:keepNext w:val="0"/>
        <w:keepLines w:val="0"/>
        <w:pageBreakBefore w:val="0"/>
        <w:widowControl/>
        <w:kinsoku/>
        <w:wordWrap/>
        <w:topLinePunct w:val="0"/>
        <w:bidi w:val="0"/>
        <w:spacing w:line="360" w:lineRule="auto"/>
        <w:ind w:firstLine="480"/>
        <w:jc w:val="left"/>
        <w:rPr>
          <w:rFonts w:ascii="宋体" w:hAnsi="宋体" w:cs="宋体"/>
          <w:bCs/>
          <w:color w:val="000000"/>
          <w:sz w:val="24"/>
        </w:rPr>
      </w:pPr>
      <w:r>
        <w:rPr>
          <w:rFonts w:hint="eastAsia" w:ascii="宋体" w:hAnsi="宋体" w:cs="宋体"/>
          <w:bCs/>
          <w:color w:val="000000"/>
          <w:sz w:val="24"/>
        </w:rPr>
        <w:t>2.质疑、投诉应当采用书面形式。质疑书、投诉书均应明确阐述磋商文件、磋商过程或成交结果使自己权益受到损害的实质性内容，提供相关事实、依据和证据及其来源或线索，便于有关单位调查、答复和处理。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二、磋商响应文件的编制</w:t>
      </w:r>
    </w:p>
    <w:p>
      <w:pPr>
        <w:keepNext w:val="0"/>
        <w:keepLines w:val="0"/>
        <w:pageBreakBefore w:val="0"/>
        <w:kinsoku/>
        <w:wordWrap/>
        <w:topLinePunct w:val="0"/>
        <w:autoSpaceDE w:val="0"/>
        <w:autoSpaceDN w:val="0"/>
        <w:bidi w:val="0"/>
        <w:adjustRightInd w:val="0"/>
        <w:spacing w:line="360" w:lineRule="auto"/>
        <w:ind w:left="461"/>
        <w:jc w:val="left"/>
        <w:rPr>
          <w:rFonts w:ascii="宋体" w:hAnsi="宋体" w:cs="宋体"/>
          <w:color w:val="000000"/>
          <w:sz w:val="24"/>
        </w:rPr>
      </w:pPr>
      <w:r>
        <w:rPr>
          <w:rFonts w:hint="eastAsia" w:ascii="宋体" w:hAnsi="宋体" w:cs="宋体"/>
          <w:b/>
          <w:bCs/>
          <w:color w:val="000000"/>
          <w:sz w:val="24"/>
        </w:rPr>
        <w:t>（一）</w:t>
      </w:r>
      <w:r>
        <w:rPr>
          <w:rFonts w:hint="eastAsia" w:ascii="宋体" w:hAnsi="宋体" w:cs="宋体"/>
          <w:color w:val="000000"/>
          <w:sz w:val="24"/>
        </w:rPr>
        <w:t>本竞争性磋商文件由以下部份组成：</w:t>
      </w:r>
    </w:p>
    <w:p>
      <w:pPr>
        <w:keepNext w:val="0"/>
        <w:keepLines w:val="0"/>
        <w:pageBreakBefore w:val="0"/>
        <w:kinsoku/>
        <w:wordWrap/>
        <w:topLinePunct w:val="0"/>
        <w:autoSpaceDE w:val="0"/>
        <w:autoSpaceDN w:val="0"/>
        <w:bidi w:val="0"/>
        <w:adjustRightInd w:val="0"/>
        <w:spacing w:line="360" w:lineRule="auto"/>
        <w:ind w:left="461" w:firstLine="78"/>
        <w:jc w:val="left"/>
        <w:rPr>
          <w:rFonts w:ascii="宋体" w:hAnsi="宋体" w:cs="宋体"/>
          <w:color w:val="000000"/>
          <w:sz w:val="24"/>
        </w:rPr>
      </w:pPr>
      <w:r>
        <w:rPr>
          <w:rFonts w:hint="eastAsia" w:ascii="宋体" w:hAnsi="宋体" w:cs="宋体"/>
          <w:color w:val="000000"/>
          <w:sz w:val="24"/>
        </w:rPr>
        <w:t>1．磋商公告；</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s="宋体"/>
          <w:color w:val="000000"/>
          <w:sz w:val="24"/>
        </w:rPr>
      </w:pPr>
      <w:r>
        <w:rPr>
          <w:rFonts w:hint="eastAsia" w:ascii="宋体" w:hAnsi="宋体" w:cs="宋体"/>
          <w:color w:val="000000"/>
          <w:sz w:val="24"/>
        </w:rPr>
        <w:t>2．响应人须知；</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s="宋体"/>
          <w:color w:val="000000"/>
          <w:sz w:val="24"/>
        </w:rPr>
      </w:pPr>
      <w:r>
        <w:rPr>
          <w:rFonts w:hint="eastAsia" w:ascii="宋体" w:hAnsi="宋体" w:cs="宋体"/>
          <w:color w:val="000000"/>
          <w:sz w:val="24"/>
        </w:rPr>
        <w:t>3．采购需求；</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s="宋体"/>
          <w:color w:val="000000"/>
          <w:sz w:val="24"/>
        </w:rPr>
      </w:pPr>
      <w:r>
        <w:rPr>
          <w:rFonts w:hint="eastAsia" w:ascii="宋体" w:hAnsi="宋体" w:cs="宋体"/>
          <w:color w:val="000000"/>
          <w:sz w:val="24"/>
        </w:rPr>
        <w:t>4．评审办法；</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s="宋体"/>
          <w:color w:val="000000"/>
          <w:sz w:val="24"/>
        </w:rPr>
      </w:pPr>
      <w:r>
        <w:rPr>
          <w:rFonts w:hint="eastAsia" w:ascii="宋体" w:hAnsi="宋体" w:cs="宋体"/>
          <w:color w:val="000000"/>
          <w:sz w:val="24"/>
        </w:rPr>
        <w:t>5. 合同主要条款；</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s="宋体"/>
          <w:color w:val="000000"/>
          <w:sz w:val="24"/>
        </w:rPr>
      </w:pPr>
      <w:r>
        <w:rPr>
          <w:rFonts w:hint="eastAsia" w:ascii="宋体" w:hAnsi="宋体" w:cs="宋体"/>
          <w:color w:val="000000"/>
          <w:sz w:val="24"/>
        </w:rPr>
        <w:t>6．应提交的有关材料格式范例。</w:t>
      </w:r>
    </w:p>
    <w:p>
      <w:pPr>
        <w:keepNext w:val="0"/>
        <w:keepLines w:val="0"/>
        <w:pageBreakBefore w:val="0"/>
        <w:kinsoku/>
        <w:wordWrap/>
        <w:topLinePunct w:val="0"/>
        <w:bidi w:val="0"/>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keepNext w:val="0"/>
        <w:keepLines w:val="0"/>
        <w:pageBreakBefore w:val="0"/>
        <w:kinsoku/>
        <w:wordWrap/>
        <w:topLinePunct w:val="0"/>
        <w:bidi w:val="0"/>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5"/>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noWrap/>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noWrap/>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noWra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noWrap/>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noWra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noWrap/>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noWrap/>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6.报价一览表。报价以人民币为结算币种，包括</w:t>
            </w:r>
            <w:r>
              <w:rPr>
                <w:rFonts w:hint="eastAsia" w:ascii="宋体" w:hAnsi="宋体" w:cs="宋体"/>
                <w:color w:val="000000"/>
                <w:sz w:val="24"/>
                <w:lang w:eastAsia="zh-CN"/>
              </w:rPr>
              <w:t>完成本项目数据采集及硬件对接</w:t>
            </w:r>
            <w:r>
              <w:rPr>
                <w:rFonts w:hint="eastAsia" w:ascii="宋体" w:hAnsi="宋体" w:cs="宋体"/>
                <w:color w:val="000000"/>
                <w:sz w:val="24"/>
              </w:rPr>
              <w:t>服务</w:t>
            </w:r>
            <w:r>
              <w:rPr>
                <w:rFonts w:hint="eastAsia" w:ascii="宋体" w:hAnsi="宋体" w:cs="宋体"/>
                <w:color w:val="000000"/>
                <w:sz w:val="24"/>
                <w:lang w:eastAsia="zh-CN"/>
              </w:rPr>
              <w:t>费及税费等</w:t>
            </w:r>
            <w:r>
              <w:rPr>
                <w:rFonts w:hint="eastAsia" w:ascii="宋体" w:hAnsi="宋体" w:cs="宋体"/>
                <w:color w:val="000000"/>
                <w:sz w:val="24"/>
              </w:rPr>
              <w:t>一切费用。</w:t>
            </w:r>
          </w:p>
        </w:tc>
        <w:tc>
          <w:tcPr>
            <w:tcW w:w="1484" w:type="dxa"/>
            <w:tcBorders>
              <w:top w:val="single" w:color="auto" w:sz="4" w:space="0"/>
              <w:left w:val="nil"/>
              <w:bottom w:val="single" w:color="auto" w:sz="4" w:space="0"/>
              <w:right w:val="single" w:color="auto" w:sz="4" w:space="0"/>
            </w:tcBorders>
            <w:noWra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tcPr>
          <w:p>
            <w:pPr>
              <w:spacing w:line="500" w:lineRule="exact"/>
              <w:rPr>
                <w:rFonts w:ascii="宋体" w:hAnsi="宋体" w:cs="宋体"/>
                <w:color w:val="000000"/>
                <w:sz w:val="24"/>
              </w:rPr>
            </w:pPr>
            <w:r>
              <w:rPr>
                <w:rFonts w:hint="eastAsia"/>
                <w:sz w:val="24"/>
                <w:highlight w:val="yellow"/>
              </w:rPr>
              <w:t>7.中小微企业、监狱或戒毒企业、残疾人福利性单位需提供相关声明函。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noWra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noWrap/>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noWrap/>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531" w:type="dxa"/>
            <w:noWrap/>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ign w:val="center"/>
          </w:tcPr>
          <w:p>
            <w:pPr>
              <w:spacing w:line="360" w:lineRule="auto"/>
              <w:rPr>
                <w:rFonts w:ascii="宋体" w:hAnsi="宋体" w:cs="宋体"/>
                <w:color w:val="000000"/>
                <w:sz w:val="24"/>
              </w:rPr>
            </w:pPr>
            <w:r>
              <w:rPr>
                <w:rFonts w:hint="eastAsia" w:ascii="宋体" w:hAnsi="宋体" w:cs="宋体"/>
                <w:color w:val="000000"/>
                <w:sz w:val="24"/>
              </w:rPr>
              <w:t>2.拟投入本项目人员情况</w:t>
            </w:r>
          </w:p>
        </w:tc>
        <w:tc>
          <w:tcPr>
            <w:tcW w:w="1531" w:type="dxa"/>
            <w:noWrap/>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3.服务方案的完整性和可行性</w:t>
            </w:r>
          </w:p>
        </w:tc>
        <w:tc>
          <w:tcPr>
            <w:tcW w:w="1531" w:type="dxa"/>
            <w:noWrap/>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zh-CN"/>
              </w:rPr>
              <w:t>质量保障措施和售后服务承诺书</w:t>
            </w:r>
          </w:p>
        </w:tc>
        <w:tc>
          <w:tcPr>
            <w:tcW w:w="1531" w:type="dxa"/>
            <w:noWrap/>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5.投标人同类项目实施情况一览表，须提供2018年1月1日以来（以合同签订时间为准）至今实施的同类项目有效合同原件的复印件，有效合同原件带至现场备查，无原件不得分。</w:t>
            </w:r>
          </w:p>
        </w:tc>
        <w:tc>
          <w:tcPr>
            <w:tcW w:w="1531" w:type="dxa"/>
            <w:noWrap/>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6.响应人认为有必要提供的其它资料</w:t>
            </w:r>
          </w:p>
        </w:tc>
        <w:tc>
          <w:tcPr>
            <w:tcW w:w="1531" w:type="dxa"/>
            <w:noWrap/>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宋体"/>
          <w:b/>
          <w:color w:val="000000"/>
          <w:sz w:val="24"/>
        </w:rPr>
      </w:pPr>
      <w:r>
        <w:rPr>
          <w:rFonts w:hint="eastAsia" w:ascii="宋体" w:hAnsi="宋体" w:cs="宋体"/>
          <w:b/>
          <w:color w:val="000000"/>
          <w:sz w:val="24"/>
        </w:rPr>
        <w:t>（三）响应文件的语言及计量</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82" w:firstLineChars="200"/>
        <w:jc w:val="left"/>
        <w:outlineLvl w:val="0"/>
        <w:rPr>
          <w:rFonts w:ascii="宋体" w:hAnsi="宋体" w:cs="宋体"/>
          <w:b/>
          <w:color w:val="000000"/>
          <w:sz w:val="24"/>
        </w:rPr>
      </w:pPr>
      <w:r>
        <w:rPr>
          <w:rFonts w:hint="eastAsia" w:ascii="宋体" w:hAnsi="宋体" w:cs="宋体"/>
          <w:b/>
          <w:color w:val="000000"/>
          <w:sz w:val="24"/>
        </w:rPr>
        <w:t>（四）磋商响应报价</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磋商响应报价应按磋商文件中相关附表格式填报。</w:t>
      </w:r>
    </w:p>
    <w:p>
      <w:pPr>
        <w:snapToGrid w:val="0"/>
        <w:spacing w:line="360" w:lineRule="auto"/>
        <w:ind w:firstLine="472" w:firstLineChars="196"/>
        <w:jc w:val="left"/>
        <w:outlineLvl w:val="0"/>
        <w:rPr>
          <w:rFonts w:ascii="宋体" w:hAnsi="宋体" w:cs="宋体"/>
          <w:b/>
          <w:color w:val="000000"/>
          <w:sz w:val="24"/>
        </w:rPr>
      </w:pPr>
      <w:r>
        <w:rPr>
          <w:rFonts w:hint="eastAsia" w:ascii="宋体" w:hAnsi="宋体" w:cs="宋体"/>
          <w:b/>
          <w:color w:val="000000"/>
          <w:sz w:val="24"/>
        </w:rPr>
        <w:t>（五）磋商响应文件的有效期</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▲1.从响应文件递交截止之日起，有效期为90天。</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（六）响应文件的签署</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2．供应商应按本须知的相关要求准备响应文件，</w:t>
      </w:r>
      <w:r>
        <w:rPr>
          <w:rFonts w:hint="eastAsia" w:ascii="宋体" w:hAnsi="宋体" w:cs="宋体"/>
          <w:b/>
          <w:color w:val="000000"/>
          <w:sz w:val="24"/>
        </w:rPr>
        <w:t>响应文件须清楚地标明 “正本”、“副本”。</w:t>
      </w:r>
      <w:r>
        <w:rPr>
          <w:rFonts w:hint="eastAsia" w:ascii="宋体" w:hAnsi="宋体" w:cs="宋体"/>
          <w:color w:val="000000"/>
          <w:sz w:val="24"/>
        </w:rPr>
        <w:t>若正本和副本有差异，以正本为准。</w:t>
      </w:r>
    </w:p>
    <w:p>
      <w:pPr>
        <w:autoSpaceDE w:val="0"/>
        <w:autoSpaceDN w:val="0"/>
        <w:adjustRightInd w:val="0"/>
        <w:spacing w:line="360" w:lineRule="auto"/>
        <w:ind w:firstLine="480" w:firstLineChars="200"/>
        <w:rPr>
          <w:rFonts w:ascii="宋体" w:hAnsi="宋体" w:cs="宋体"/>
          <w:b/>
          <w:color w:val="000000"/>
          <w:sz w:val="24"/>
        </w:rPr>
      </w:pPr>
      <w:r>
        <w:rPr>
          <w:rFonts w:hint="eastAsia" w:ascii="宋体" w:hAnsi="宋体" w:cs="宋体"/>
          <w:color w:val="000000"/>
          <w:sz w:val="24"/>
        </w:rPr>
        <w:t>3. 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cs="宋体"/>
          <w:b/>
          <w:color w:val="000000"/>
          <w:sz w:val="24"/>
        </w:rPr>
        <w:t>文件的副本可采用正本的复印件。</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4．供应商提供的响应文件正本内的各种复印件需加盖供应商公章。</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color w:val="000000"/>
          <w:sz w:val="24"/>
        </w:rPr>
        <w:t>5．法定代表人授权委托书、磋商响应函、报价一览表须按照格式规定由法定代表人或授权代表签名或签章并加盖单位公章。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6．任何行间插字、涂改和增删，必须由响应文件签名人在旁边签名才有效。</w:t>
      </w:r>
    </w:p>
    <w:p>
      <w:pPr>
        <w:autoSpaceDE w:val="0"/>
        <w:autoSpaceDN w:val="0"/>
        <w:adjustRightInd w:val="0"/>
        <w:spacing w:line="360" w:lineRule="auto"/>
        <w:ind w:firstLine="480" w:firstLineChars="200"/>
        <w:rPr>
          <w:rFonts w:ascii="宋体" w:hAnsi="宋体" w:cs="宋体"/>
          <w:b/>
          <w:color w:val="000000"/>
          <w:sz w:val="24"/>
        </w:rPr>
      </w:pPr>
      <w:r>
        <w:rPr>
          <w:rFonts w:hint="eastAsia" w:ascii="宋体" w:hAnsi="宋体" w:cs="宋体"/>
          <w:color w:val="000000"/>
          <w:sz w:val="24"/>
        </w:rPr>
        <w:t>7．电报、电话、传真形式的响应文件概不接受。</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（七）响应文件的密封和标记</w:t>
      </w:r>
    </w:p>
    <w:p>
      <w:pPr>
        <w:autoSpaceDE w:val="0"/>
        <w:autoSpaceDN w:val="0"/>
        <w:adjustRightInd w:val="0"/>
        <w:spacing w:line="360" w:lineRule="auto"/>
        <w:ind w:firstLine="482" w:firstLineChars="200"/>
        <w:rPr>
          <w:rFonts w:hint="eastAsia" w:ascii="宋体" w:hAnsi="宋体" w:eastAsia="宋体" w:cs="宋体"/>
          <w:b/>
          <w:bCs/>
          <w:color w:val="000000"/>
          <w:sz w:val="24"/>
        </w:rPr>
      </w:pPr>
      <w:r>
        <w:rPr>
          <w:rFonts w:hint="eastAsia" w:ascii="宋体" w:hAnsi="宋体" w:cs="宋体"/>
          <w:b/>
          <w:color w:val="000000"/>
          <w:sz w:val="24"/>
        </w:rPr>
        <w:t>1</w:t>
      </w:r>
      <w:r>
        <w:rPr>
          <w:rFonts w:hint="eastAsia" w:ascii="宋体" w:hAnsi="宋体" w:cs="宋体"/>
          <w:color w:val="000000"/>
          <w:sz w:val="24"/>
        </w:rPr>
        <w:t xml:space="preserve">. </w:t>
      </w:r>
      <w:r>
        <w:rPr>
          <w:rFonts w:hint="eastAsia" w:ascii="宋体" w:hAnsi="宋体" w:eastAsia="宋体" w:cs="宋体"/>
          <w:b/>
          <w:color w:val="000000" w:themeColor="text1"/>
          <w:sz w:val="24"/>
          <w14:textFill>
            <w14:solidFill>
              <w14:schemeClr w14:val="tx1"/>
            </w14:solidFill>
          </w14:textFill>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2</w:t>
      </w:r>
      <w:r>
        <w:rPr>
          <w:rFonts w:hint="eastAsia" w:ascii="宋体" w:hAnsi="宋体" w:cs="宋体"/>
          <w:color w:val="000000"/>
          <w:sz w:val="24"/>
        </w:rPr>
        <w:t>．</w:t>
      </w:r>
      <w:r>
        <w:rPr>
          <w:rFonts w:hint="eastAsia" w:ascii="宋体" w:hAnsi="宋体" w:cs="宋体"/>
          <w:b/>
          <w:color w:val="000000"/>
          <w:sz w:val="24"/>
        </w:rPr>
        <w:t>封面均应注明：项目名称、项目编号、供应商名称、磋商响应文件名称</w:t>
      </w:r>
      <w:r>
        <w:rPr>
          <w:rFonts w:hint="eastAsia" w:ascii="宋体" w:hAnsi="宋体" w:cs="宋体"/>
          <w:color w:val="000000"/>
          <w:sz w:val="24"/>
        </w:rPr>
        <w:t>。</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（一）递交响应文件截止时间及地点</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1．供应商请于</w:t>
      </w:r>
      <w:r>
        <w:rPr>
          <w:rFonts w:hint="eastAsia" w:ascii="宋体" w:hAnsi="宋体" w:cs="宋体"/>
          <w:bCs/>
          <w:color w:val="000000"/>
          <w:sz w:val="24"/>
        </w:rPr>
        <w:t>磋商截止时间前将</w:t>
      </w:r>
      <w:r>
        <w:rPr>
          <w:rFonts w:hint="eastAsia" w:ascii="宋体" w:hAnsi="宋体" w:cs="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s="宋体"/>
          <w:color w:val="000000"/>
          <w:sz w:val="24"/>
        </w:rPr>
      </w:pPr>
      <w:r>
        <w:rPr>
          <w:rFonts w:hint="eastAsia" w:ascii="宋体" w:hAnsi="宋体" w:cs="宋体"/>
          <w:b/>
          <w:color w:val="000000"/>
          <w:sz w:val="24"/>
        </w:rPr>
        <w:t>▲2．递交响应文件时需递交供应商的授权代表身份证原件。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（二）响应文件的修改和撤销</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2．供应商修改后的响应文件应按原来的规定编制、密封、标记和递交。</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4．递交响应文件截止期后，供应商不得撤回其响应文件。</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四、无效的响应文件</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发生下列情况之一的磋商响应文件将被视为无效：</w:t>
      </w:r>
    </w:p>
    <w:p>
      <w:pPr>
        <w:numPr>
          <w:ilvl w:val="0"/>
          <w:numId w:val="1"/>
        </w:num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磋商截止时间以后送达的磋商响应文件；</w:t>
      </w:r>
    </w:p>
    <w:p>
      <w:pPr>
        <w:numPr>
          <w:ilvl w:val="0"/>
          <w:numId w:val="1"/>
        </w:numPr>
        <w:spacing w:line="360" w:lineRule="auto"/>
        <w:ind w:firstLine="480" w:firstLineChars="200"/>
        <w:rPr>
          <w:rFonts w:ascii="宋体" w:hAnsi="宋体" w:cs="宋体"/>
          <w:color w:val="000000"/>
          <w:sz w:val="24"/>
        </w:rPr>
      </w:pPr>
      <w:r>
        <w:rPr>
          <w:rFonts w:hint="eastAsia" w:ascii="宋体" w:hAnsi="宋体" w:cs="宋体"/>
          <w:color w:val="000000"/>
          <w:sz w:val="24"/>
        </w:rPr>
        <w:t>仅以非纸制文本形式递交的磋商响应文件；</w:t>
      </w:r>
    </w:p>
    <w:p>
      <w:pPr>
        <w:numPr>
          <w:ilvl w:val="0"/>
          <w:numId w:val="1"/>
        </w:numPr>
        <w:spacing w:line="360" w:lineRule="auto"/>
        <w:ind w:firstLine="480" w:firstLineChars="200"/>
        <w:rPr>
          <w:rFonts w:ascii="宋体" w:hAnsi="宋体" w:cs="宋体"/>
          <w:color w:val="000000"/>
          <w:sz w:val="24"/>
        </w:rPr>
      </w:pPr>
      <w:r>
        <w:rPr>
          <w:rFonts w:hint="eastAsia" w:ascii="宋体" w:hAnsi="宋体" w:cs="宋体"/>
          <w:color w:val="000000"/>
          <w:sz w:val="24"/>
        </w:rPr>
        <w:t>不具备磋商文件规定资格要求；</w:t>
      </w:r>
    </w:p>
    <w:p>
      <w:pPr>
        <w:numPr>
          <w:ilvl w:val="0"/>
          <w:numId w:val="1"/>
        </w:num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由于包装不妥等导致磋商文件在送交途中严重破损或失散的；</w:t>
      </w:r>
    </w:p>
    <w:p>
      <w:pPr>
        <w:numPr>
          <w:ilvl w:val="0"/>
          <w:numId w:val="1"/>
        </w:numPr>
        <w:snapToGrid w:val="0"/>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活页装订（是指用卡条、抽杆夹、订书机等形式装订，使标书可以拆卸或者在翻动过程中易脱落的一种装订方式）的磋商响应文件。</w:t>
      </w:r>
    </w:p>
    <w:p>
      <w:pPr>
        <w:numPr>
          <w:ilvl w:val="0"/>
          <w:numId w:val="1"/>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存在“▲”条款的负偏离或不满足要求的；</w:t>
      </w:r>
    </w:p>
    <w:p>
      <w:pPr>
        <w:numPr>
          <w:ilvl w:val="0"/>
          <w:numId w:val="1"/>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磋商有效期、交货时间、质保期条款不满足磋商文件要求的。</w:t>
      </w:r>
    </w:p>
    <w:p>
      <w:pPr>
        <w:numPr>
          <w:ilvl w:val="0"/>
          <w:numId w:val="1"/>
        </w:numPr>
        <w:spacing w:line="360" w:lineRule="auto"/>
        <w:ind w:firstLine="480" w:firstLineChars="200"/>
        <w:rPr>
          <w:rFonts w:ascii="宋体" w:hAnsi="宋体" w:cs="宋体"/>
          <w:color w:val="000000"/>
          <w:sz w:val="24"/>
        </w:rPr>
      </w:pPr>
      <w:r>
        <w:rPr>
          <w:rFonts w:hint="eastAsia" w:ascii="宋体" w:hAnsi="宋体" w:cs="宋体"/>
          <w:color w:val="000000"/>
          <w:sz w:val="24"/>
        </w:rPr>
        <w:t>磋商响应人的报价明显高于其市场价或低于成本价的，该磋商响应人不能合理说明原因并提供证明材料的；</w:t>
      </w:r>
    </w:p>
    <w:p>
      <w:pPr>
        <w:numPr>
          <w:ilvl w:val="0"/>
          <w:numId w:val="1"/>
        </w:numPr>
        <w:spacing w:line="360" w:lineRule="auto"/>
        <w:ind w:firstLine="480" w:firstLineChars="200"/>
        <w:rPr>
          <w:rFonts w:ascii="宋体" w:hAnsi="宋体" w:cs="宋体"/>
          <w:color w:val="000000"/>
          <w:sz w:val="24"/>
        </w:rPr>
      </w:pPr>
      <w:r>
        <w:rPr>
          <w:rFonts w:hint="eastAsia" w:ascii="宋体" w:hAnsi="宋体" w:cs="宋体"/>
          <w:color w:val="000000"/>
          <w:sz w:val="24"/>
        </w:rPr>
        <w:t>磋商响应文件关键内容字迹模糊、无法辨认的，又不予以书面说明及澄清的；</w:t>
      </w:r>
    </w:p>
    <w:p>
      <w:pPr>
        <w:numPr>
          <w:ilvl w:val="0"/>
          <w:numId w:val="1"/>
        </w:numPr>
        <w:spacing w:line="360" w:lineRule="auto"/>
        <w:ind w:firstLine="480" w:firstLineChars="200"/>
        <w:rPr>
          <w:rFonts w:ascii="宋体" w:hAnsi="宋体" w:cs="宋体"/>
          <w:color w:val="000000"/>
          <w:sz w:val="24"/>
        </w:rPr>
      </w:pPr>
      <w:r>
        <w:rPr>
          <w:rFonts w:hint="eastAsia" w:ascii="宋体" w:hAnsi="宋体" w:cs="宋体"/>
          <w:color w:val="000000"/>
          <w:sz w:val="24"/>
        </w:rPr>
        <w:t>报价超出采购预算价的；</w:t>
      </w:r>
    </w:p>
    <w:p>
      <w:pPr>
        <w:numPr>
          <w:ilvl w:val="0"/>
          <w:numId w:val="1"/>
        </w:numPr>
        <w:spacing w:line="360" w:lineRule="auto"/>
        <w:ind w:firstLine="480" w:firstLineChars="200"/>
        <w:rPr>
          <w:rFonts w:ascii="宋体" w:hAnsi="宋体" w:cs="宋体"/>
          <w:color w:val="000000"/>
          <w:sz w:val="24"/>
        </w:rPr>
      </w:pPr>
      <w:r>
        <w:rPr>
          <w:rFonts w:hint="eastAsia" w:ascii="宋体" w:hAnsi="宋体" w:cs="宋体"/>
          <w:color w:val="000000"/>
          <w:sz w:val="24"/>
        </w:rPr>
        <w:t>提供虚假材料谋取成交的；</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响应人串通磋商的；</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响应文件含有采购人不能接受的附件条件的；</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（一）磋商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（二）磋商小组</w:t>
      </w:r>
    </w:p>
    <w:p>
      <w:pPr>
        <w:spacing w:line="360" w:lineRule="auto"/>
        <w:ind w:firstLine="480" w:firstLineChars="200"/>
        <w:rPr>
          <w:rFonts w:ascii="宋体" w:hAnsi="宋体" w:cs="宋体"/>
          <w:color w:val="000000"/>
          <w:sz w:val="24"/>
        </w:rPr>
      </w:pPr>
      <w:r>
        <w:rPr>
          <w:rFonts w:hint="eastAsia" w:ascii="宋体" w:hAnsi="宋体" w:cs="宋体"/>
          <w:color w:val="000000"/>
          <w:sz w:val="24"/>
        </w:rPr>
        <w:t>1．磋商小组依法由三人及以上成员组成，并对响应文件进行审查、质疑、评估和比较。</w:t>
      </w:r>
    </w:p>
    <w:p>
      <w:pPr>
        <w:spacing w:line="360" w:lineRule="auto"/>
        <w:ind w:firstLine="480" w:firstLineChars="200"/>
        <w:rPr>
          <w:rFonts w:ascii="宋体" w:hAnsi="宋体" w:cs="宋体"/>
          <w:color w:val="000000"/>
          <w:sz w:val="24"/>
        </w:rPr>
      </w:pPr>
      <w:r>
        <w:rPr>
          <w:rFonts w:hint="eastAsia" w:ascii="宋体" w:hAnsi="宋体" w:cs="宋体"/>
          <w:color w:val="000000"/>
          <w:sz w:val="24"/>
        </w:rPr>
        <w:t>2．磋商期间，供应商法定代表人或授权代表必须在场，负责解答有关事宜。如不在场，则事后不得对采购过程及结果提出异议。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（三）磋商、评审程序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3．工作人员确认供应商法定代表人或授权代表资格、到场等情况。</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4．工作人员检查各供应商的标函密封、标记情况。</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6．磋商小组对各供应商的响应文件进行评审，并按响应文件开启的逆顺序与供应商进行磋商，磋商可以进行多轮。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7．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8．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9. 磋商结束后，磋商小组对所有实质性响应的供应商进行商务技术评分，商务技术得分结果出来后由有效磋商响应人在规定时间内提交最后报价（最后报价确定后公布商务技术得分），提交最后报价的供应商一般不得少于3家。最后报价是供应商响应文件的有效组成部分。</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（四）成交</w:t>
      </w:r>
    </w:p>
    <w:p>
      <w:pPr>
        <w:pStyle w:val="7"/>
        <w:snapToGrid w:val="0"/>
        <w:spacing w:line="360" w:lineRule="auto"/>
        <w:ind w:firstLine="482"/>
        <w:rPr>
          <w:rFonts w:hAnsi="宋体" w:cs="宋体"/>
          <w:color w:val="000000"/>
          <w:sz w:val="24"/>
        </w:rPr>
      </w:pPr>
      <w:r>
        <w:rPr>
          <w:rFonts w:hint="eastAsia" w:hAnsi="宋体" w:cs="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六、合同授予</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1．成交人接到成交通知书后在规定的时间内与采购人签订合同。</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2．成交人拖延、拒签合同的，取消成交资格。</w:t>
      </w:r>
    </w:p>
    <w:p>
      <w:pPr>
        <w:spacing w:line="360" w:lineRule="auto"/>
        <w:ind w:firstLine="480" w:firstLineChars="200"/>
        <w:rPr>
          <w:rFonts w:ascii="宋体" w:hAnsi="宋体" w:cs="宋体"/>
          <w:color w:val="000000"/>
          <w:sz w:val="24"/>
        </w:rPr>
      </w:pPr>
      <w:r>
        <w:rPr>
          <w:rFonts w:hint="eastAsia" w:ascii="宋体" w:hAnsi="宋体" w:cs="宋体"/>
          <w:color w:val="000000"/>
          <w:sz w:val="24"/>
        </w:rPr>
        <w:t>3．竞争性磋商文件、澄清文件、响应文件等，均为签订合同的依据。</w:t>
      </w:r>
    </w:p>
    <w:p>
      <w:pPr>
        <w:spacing w:line="360" w:lineRule="auto"/>
        <w:ind w:firstLine="482" w:firstLineChars="200"/>
        <w:rPr>
          <w:rFonts w:ascii="宋体" w:hAnsi="宋体" w:cs="宋体"/>
          <w:b/>
          <w:sz w:val="24"/>
        </w:rPr>
      </w:pPr>
      <w:r>
        <w:rPr>
          <w:rFonts w:hint="eastAsia" w:ascii="宋体" w:hAnsi="宋体" w:cs="宋体"/>
          <w:b/>
          <w:sz w:val="24"/>
        </w:rPr>
        <w:t>七、履约保证金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1.成交供应商于成交结果公告结束后5个工作日内向采购人缴纳履约保证</w:t>
      </w:r>
      <w:r>
        <w:rPr>
          <w:rFonts w:hint="eastAsia" w:ascii="宋体" w:hAnsi="宋体"/>
          <w:b/>
          <w:color w:val="000000"/>
          <w:sz w:val="24"/>
        </w:rPr>
        <w:t>金，履约保证金为成交金额的5%。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spacing w:line="360" w:lineRule="auto"/>
        <w:ind w:firstLine="472" w:firstLineChars="196"/>
        <w:rPr>
          <w:rFonts w:ascii="宋体" w:hAnsi="宋体" w:cs="宋体"/>
          <w:b/>
          <w:sz w:val="24"/>
        </w:rPr>
      </w:pPr>
      <w:r>
        <w:rPr>
          <w:rFonts w:hint="eastAsia" w:ascii="宋体" w:hAnsi="宋体" w:cs="宋体"/>
          <w:b/>
          <w:sz w:val="24"/>
        </w:rPr>
        <w:t>八、解释权：</w:t>
      </w:r>
      <w:r>
        <w:rPr>
          <w:rFonts w:hint="eastAsia" w:ascii="宋体" w:hAnsi="宋体" w:cs="宋体"/>
          <w:sz w:val="24"/>
        </w:rPr>
        <w:t>本磋商文件是依据《政府采购法》及有关规定编制的，解释权属采购人。</w:t>
      </w:r>
    </w:p>
    <w:p>
      <w:pPr>
        <w:spacing w:line="360" w:lineRule="auto"/>
        <w:ind w:firstLine="472" w:firstLineChars="196"/>
        <w:rPr>
          <w:rFonts w:ascii="宋体" w:hAnsi="宋体" w:cs="宋体"/>
          <w:sz w:val="24"/>
        </w:rPr>
      </w:pPr>
      <w:r>
        <w:rPr>
          <w:rFonts w:hint="eastAsia" w:ascii="宋体" w:hAnsi="宋体" w:cs="宋体"/>
          <w:b/>
          <w:sz w:val="24"/>
        </w:rPr>
        <w:t>九、通讯地址：</w:t>
      </w:r>
      <w:r>
        <w:rPr>
          <w:rFonts w:hint="eastAsia" w:ascii="宋体" w:hAnsi="宋体" w:cs="宋体"/>
          <w:sz w:val="24"/>
        </w:rPr>
        <w:t>所有与本次磋商有关的函电请按下面联系</w:t>
      </w:r>
    </w:p>
    <w:p>
      <w:pPr>
        <w:spacing w:line="360" w:lineRule="auto"/>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采购中心联系人：周老师；电话：0570-8015042</w:t>
      </w:r>
      <w:r>
        <w:rPr>
          <w:rFonts w:hint="eastAsia" w:ascii="宋体" w:hAnsi="宋体" w:cs="宋体"/>
          <w:color w:val="000000"/>
          <w:kern w:val="0"/>
          <w:sz w:val="24"/>
          <w:lang w:val="en-US" w:eastAsia="zh-CN"/>
        </w:rPr>
        <w:t>,18957039862</w:t>
      </w:r>
      <w:r>
        <w:rPr>
          <w:rFonts w:hint="eastAsia" w:ascii="宋体" w:hAnsi="宋体" w:cs="宋体"/>
          <w:color w:val="000000"/>
          <w:kern w:val="0"/>
          <w:sz w:val="24"/>
        </w:rPr>
        <w:t xml:space="preserve">。 </w:t>
      </w:r>
    </w:p>
    <w:p>
      <w:pPr>
        <w:spacing w:line="420" w:lineRule="exact"/>
        <w:ind w:firstLine="480" w:firstLineChars="200"/>
        <w:rPr>
          <w:rFonts w:ascii="宋体" w:hAnsi="宋体" w:cs="宋体"/>
          <w:kern w:val="0"/>
          <w:sz w:val="24"/>
        </w:rPr>
      </w:pPr>
      <w:r>
        <w:rPr>
          <w:rFonts w:hint="eastAsia" w:ascii="宋体" w:hAnsi="宋体" w:cs="宋体"/>
          <w:kern w:val="0"/>
          <w:sz w:val="24"/>
        </w:rPr>
        <w:t>质疑答复联系人：郑老师；电话：0570-8015028</w:t>
      </w:r>
      <w:r>
        <w:rPr>
          <w:rFonts w:hint="eastAsia" w:ascii="宋体" w:hAnsi="宋体" w:cs="宋体"/>
          <w:kern w:val="0"/>
          <w:sz w:val="24"/>
          <w:lang w:val="en-US" w:eastAsia="zh-CN"/>
        </w:rPr>
        <w:t>,</w:t>
      </w:r>
      <w:r>
        <w:rPr>
          <w:rFonts w:hint="eastAsia" w:ascii="宋体" w:hAnsi="宋体" w:eastAsia="宋体" w:cs="宋体"/>
          <w:color w:val="000000" w:themeColor="text1"/>
          <w:kern w:val="0"/>
          <w:sz w:val="24"/>
          <w14:textFill>
            <w14:solidFill>
              <w14:schemeClr w14:val="tx1"/>
            </w14:solidFill>
          </w14:textFill>
        </w:rPr>
        <w:t>13567021518</w:t>
      </w:r>
      <w:r>
        <w:rPr>
          <w:rFonts w:hint="eastAsia" w:ascii="宋体" w:hAnsi="宋体" w:cs="宋体"/>
          <w:kern w:val="0"/>
          <w:sz w:val="24"/>
        </w:rPr>
        <w:t>。</w:t>
      </w:r>
    </w:p>
    <w:p>
      <w:pPr>
        <w:spacing w:line="420" w:lineRule="exact"/>
        <w:ind w:right="480" w:firstLine="480" w:firstLineChars="200"/>
        <w:rPr>
          <w:rFonts w:ascii="宋体" w:hAnsi="宋体" w:cs="宋体"/>
          <w:bCs/>
          <w:sz w:val="24"/>
          <w:highlight w:val="none"/>
        </w:rPr>
      </w:pPr>
      <w:r>
        <w:rPr>
          <w:rFonts w:hint="eastAsia" w:ascii="宋体" w:hAnsi="宋体" w:cs="宋体"/>
          <w:kern w:val="0"/>
          <w:sz w:val="24"/>
          <w:highlight w:val="none"/>
        </w:rPr>
        <w:t>项目技术答疑联系人：陈磊老师，电话：</w:t>
      </w:r>
      <w:r>
        <w:rPr>
          <w:rFonts w:ascii="宋体" w:hAnsi="宋体" w:cs="宋体"/>
          <w:kern w:val="0"/>
          <w:sz w:val="24"/>
          <w:highlight w:val="none"/>
        </w:rPr>
        <w:t>13967020016</w:t>
      </w:r>
      <w:r>
        <w:rPr>
          <w:rFonts w:hint="eastAsia" w:ascii="宋体" w:hAnsi="宋体" w:cs="宋体"/>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     </w:t>
      </w:r>
    </w:p>
    <w:p>
      <w:pPr>
        <w:adjustRightInd w:val="0"/>
        <w:snapToGrid w:val="0"/>
        <w:spacing w:line="360" w:lineRule="auto"/>
        <w:jc w:val="center"/>
        <w:rPr>
          <w:rFonts w:ascii="宋体" w:hAnsi="宋体" w:cs="宋体"/>
          <w:b/>
          <w:color w:val="000000"/>
          <w:sz w:val="32"/>
          <w:szCs w:val="32"/>
        </w:rPr>
      </w:pPr>
    </w:p>
    <w:p>
      <w:pPr>
        <w:widowControl/>
        <w:jc w:val="left"/>
        <w:rPr>
          <w:rFonts w:ascii="宋体" w:hAnsi="宋体" w:cs="宋体"/>
          <w:b/>
          <w:color w:val="000000"/>
          <w:sz w:val="32"/>
          <w:szCs w:val="32"/>
        </w:rPr>
      </w:pPr>
      <w:r>
        <w:rPr>
          <w:rFonts w:ascii="宋体" w:hAnsi="宋体" w:cs="宋体"/>
          <w:b/>
          <w:color w:val="000000"/>
          <w:sz w:val="32"/>
          <w:szCs w:val="32"/>
        </w:rPr>
        <w:br w:type="page"/>
      </w:r>
    </w:p>
    <w:p>
      <w:pPr>
        <w:keepNext w:val="0"/>
        <w:keepLines w:val="0"/>
        <w:pageBreakBefore w:val="0"/>
        <w:widowControl w:val="0"/>
        <w:kinsoku/>
        <w:wordWrap/>
        <w:overflowPunct/>
        <w:topLinePunct w:val="0"/>
        <w:bidi w:val="0"/>
        <w:spacing w:line="420" w:lineRule="exact"/>
        <w:jc w:val="center"/>
        <w:textAlignment w:val="auto"/>
        <w:rPr>
          <w:rFonts w:hint="eastAsia"/>
          <w:sz w:val="32"/>
          <w:szCs w:val="32"/>
        </w:rPr>
      </w:pPr>
      <w:r>
        <w:rPr>
          <w:rFonts w:hint="eastAsia"/>
          <w:sz w:val="32"/>
          <w:szCs w:val="32"/>
        </w:rPr>
        <w:t>第三章  采购需求</w:t>
      </w:r>
    </w:p>
    <w:p>
      <w:pPr>
        <w:keepNext w:val="0"/>
        <w:keepLines w:val="0"/>
        <w:pageBreakBefore w:val="0"/>
        <w:widowControl w:val="0"/>
        <w:kinsoku/>
        <w:wordWrap/>
        <w:overflowPunct/>
        <w:topLinePunct w:val="0"/>
        <w:bidi w:val="0"/>
        <w:spacing w:line="420" w:lineRule="exact"/>
        <w:ind w:firstLine="482" w:firstLineChars="200"/>
        <w:textAlignment w:val="auto"/>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5"/>
        <w:tblW w:w="47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5207"/>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42"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序号</w:t>
            </w:r>
          </w:p>
        </w:tc>
        <w:tc>
          <w:tcPr>
            <w:tcW w:w="3126"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kern w:val="0"/>
                <w:sz w:val="24"/>
              </w:rPr>
            </w:pPr>
            <w:r>
              <w:rPr>
                <w:rFonts w:hint="eastAsia" w:ascii="宋体" w:hAnsi="宋体" w:cs="宋体"/>
                <w:kern w:val="0"/>
                <w:sz w:val="24"/>
              </w:rPr>
              <w:t>标项内容</w:t>
            </w:r>
          </w:p>
        </w:tc>
        <w:tc>
          <w:tcPr>
            <w:tcW w:w="1230"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kern w:val="0"/>
                <w:sz w:val="24"/>
              </w:rPr>
            </w:pPr>
            <w:r>
              <w:rPr>
                <w:rFonts w:hint="eastAsia" w:ascii="宋体" w:hAnsi="宋体" w:cs="宋体"/>
                <w:kern w:val="0"/>
                <w:sz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2"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000000"/>
                <w:kern w:val="0"/>
                <w:sz w:val="24"/>
              </w:rPr>
            </w:pPr>
            <w:r>
              <w:rPr>
                <w:rFonts w:hint="eastAsia" w:ascii="宋体" w:hAnsi="宋体" w:cs="宋体"/>
                <w:color w:val="000000"/>
                <w:kern w:val="0"/>
                <w:sz w:val="24"/>
              </w:rPr>
              <w:t>1</w:t>
            </w:r>
          </w:p>
        </w:tc>
        <w:tc>
          <w:tcPr>
            <w:tcW w:w="3126"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Tahoma" w:hAnsi="Tahoma" w:cs="Tahoma"/>
                <w:color w:val="333333"/>
                <w:szCs w:val="21"/>
                <w:shd w:val="clear" w:color="auto" w:fill="FFFFFF"/>
              </w:rPr>
            </w:pPr>
            <w:r>
              <w:rPr>
                <w:rFonts w:hint="eastAsia" w:ascii="Tahoma" w:hAnsi="Tahoma" w:cs="Tahoma"/>
                <w:color w:val="333333"/>
                <w:szCs w:val="21"/>
                <w:shd w:val="clear" w:color="auto" w:fill="FFFFFF"/>
              </w:rPr>
              <w:t>害虫数据样本采集</w:t>
            </w:r>
          </w:p>
        </w:tc>
        <w:tc>
          <w:tcPr>
            <w:tcW w:w="1230"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2"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3126"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Tahoma" w:hAnsi="Tahoma" w:cs="Tahoma"/>
                <w:color w:val="333333"/>
                <w:szCs w:val="21"/>
                <w:shd w:val="clear" w:color="auto" w:fill="FFFFFF"/>
              </w:rPr>
            </w:pPr>
            <w:r>
              <w:rPr>
                <w:rFonts w:hint="eastAsia" w:ascii="Tahoma" w:hAnsi="Tahoma" w:cs="Tahoma"/>
                <w:color w:val="333333"/>
                <w:szCs w:val="21"/>
                <w:shd w:val="clear" w:color="auto" w:fill="FFFFFF"/>
              </w:rPr>
              <w:t>虫害（被害虫破坏的叶子）数据样本采集</w:t>
            </w:r>
          </w:p>
        </w:tc>
        <w:tc>
          <w:tcPr>
            <w:tcW w:w="1230"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2"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3126"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Tahoma" w:hAnsi="Tahoma" w:cs="Tahoma"/>
                <w:color w:val="333333"/>
                <w:szCs w:val="21"/>
                <w:shd w:val="clear" w:color="auto" w:fill="FFFFFF"/>
              </w:rPr>
            </w:pPr>
            <w:r>
              <w:rPr>
                <w:rFonts w:hint="eastAsia" w:ascii="Tahoma" w:hAnsi="Tahoma" w:cs="Tahoma"/>
                <w:color w:val="333333"/>
                <w:szCs w:val="21"/>
                <w:shd w:val="clear" w:color="auto" w:fill="FFFFFF"/>
              </w:rPr>
              <w:t>视频采集节点（2</w:t>
            </w:r>
            <w:r>
              <w:rPr>
                <w:rFonts w:ascii="Tahoma" w:hAnsi="Tahoma" w:cs="Tahoma"/>
                <w:color w:val="333333"/>
                <w:szCs w:val="21"/>
                <w:shd w:val="clear" w:color="auto" w:fill="FFFFFF"/>
              </w:rPr>
              <w:t>0</w:t>
            </w:r>
            <w:r>
              <w:rPr>
                <w:rFonts w:hint="eastAsia" w:ascii="Tahoma" w:hAnsi="Tahoma" w:cs="Tahoma"/>
                <w:color w:val="333333"/>
                <w:szCs w:val="21"/>
                <w:shd w:val="clear" w:color="auto" w:fill="FFFFFF"/>
              </w:rPr>
              <w:t>个）数据对接与调试</w:t>
            </w:r>
          </w:p>
        </w:tc>
        <w:tc>
          <w:tcPr>
            <w:tcW w:w="1230"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000000"/>
                <w:kern w:val="0"/>
                <w:sz w:val="24"/>
              </w:rPr>
            </w:pPr>
            <w:r>
              <w:rPr>
                <w:rFonts w:hint="eastAsia" w:ascii="宋体" w:hAnsi="宋体" w:cs="宋体"/>
                <w:color w:val="000000"/>
                <w:kern w:val="0"/>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2"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3126"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Tahoma" w:hAnsi="Tahoma" w:cs="Tahoma"/>
                <w:color w:val="333333"/>
                <w:szCs w:val="21"/>
                <w:shd w:val="clear" w:color="auto" w:fill="FFFFFF"/>
              </w:rPr>
            </w:pPr>
            <w:r>
              <w:rPr>
                <w:rFonts w:hint="eastAsia" w:ascii="Tahoma" w:hAnsi="Tahoma" w:cs="Tahoma"/>
                <w:color w:val="333333"/>
                <w:szCs w:val="21"/>
                <w:shd w:val="clear" w:color="auto" w:fill="FFFFFF"/>
              </w:rPr>
              <w:t>二次样本采集</w:t>
            </w:r>
          </w:p>
        </w:tc>
        <w:tc>
          <w:tcPr>
            <w:tcW w:w="1230" w:type="pct"/>
            <w:noWrap/>
            <w:vAlign w:val="center"/>
          </w:tcPr>
          <w:p>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000000"/>
                <w:kern w:val="0"/>
                <w:sz w:val="24"/>
              </w:rPr>
            </w:pPr>
            <w:r>
              <w:rPr>
                <w:rFonts w:hint="eastAsia" w:ascii="宋体" w:hAnsi="宋体" w:cs="宋体"/>
                <w:color w:val="000000"/>
                <w:kern w:val="0"/>
                <w:sz w:val="24"/>
              </w:rPr>
              <w:t>1批</w:t>
            </w:r>
          </w:p>
        </w:tc>
      </w:tr>
    </w:tbl>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二、采购要求</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害虫数据样本采集</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000000"/>
          <w:sz w:val="24"/>
        </w:rPr>
      </w:pPr>
      <w:r>
        <w:rPr>
          <w:rFonts w:hint="eastAsia" w:ascii="宋体" w:hAnsi="宋体" w:cs="宋体"/>
          <w:color w:val="000000"/>
          <w:sz w:val="24"/>
        </w:rPr>
        <w:t>需要在安吉竹林当地采集（安吉县自然资源规划局指定采取点），采集的害虫数据样本必须包含（但不止于）以下8种害虫：竹螟、卵圆蝽、一字竹象虫、竹笋夜蛾、竹蝉、竹长白蚧、竹叶螨、蚜虫。采集的原始数据样本像素不得低于1200万像素，每种样本不少于2000张（样本须经过委托方确认无误后方为合格）。</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虫害（被害虫破坏的叶子）数据样本采集</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000000"/>
          <w:sz w:val="24"/>
        </w:rPr>
      </w:pPr>
      <w:r>
        <w:rPr>
          <w:rFonts w:hint="eastAsia" w:ascii="宋体" w:hAnsi="宋体" w:cs="宋体"/>
          <w:color w:val="000000"/>
          <w:sz w:val="24"/>
        </w:rPr>
        <w:t>需要在安吉竹林当地采集（安吉县自然资源规划局指定采取点），采集的虫害（叶子、枝干等部位）数据样本必须包含（但不止于）以下8种虫害：竹螟、卵圆蝽、一字竹象虫、竹笋夜蛾、竹蝉、竹长白蚧、竹叶螨、蚜虫。采集的原始数据样本像素不得低于1200万像素，每种样本不少于2000张（样本须经过委托方确认无误后方为合格）。</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视频采集节点数据对接与调试（2</w:t>
      </w:r>
      <w:r>
        <w:rPr>
          <w:rFonts w:ascii="宋体" w:hAnsi="宋体" w:cs="宋体"/>
          <w:color w:val="000000"/>
          <w:sz w:val="24"/>
        </w:rPr>
        <w:t>0</w:t>
      </w:r>
      <w:r>
        <w:rPr>
          <w:rFonts w:hint="eastAsia" w:ascii="宋体" w:hAnsi="宋体" w:cs="宋体"/>
          <w:color w:val="000000"/>
          <w:sz w:val="24"/>
        </w:rPr>
        <w:t>节点）</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000000"/>
          <w:sz w:val="24"/>
        </w:rPr>
      </w:pPr>
      <w:r>
        <w:rPr>
          <w:rFonts w:hint="eastAsia" w:ascii="宋体" w:hAnsi="宋体" w:cs="宋体"/>
          <w:color w:val="000000"/>
          <w:sz w:val="24"/>
        </w:rPr>
        <w:t>对安吉已有森林图像检测设备（包含海康威视1系列、2系列、3系列以及7系列相关产品）做数据对接与调试，所有数据确保都能够被系统以API接口的形式以指定的分辨率调用，同时需要预留认证机制以防止摄像头数据被非法采集。若摄像头已损坏无法在现场修复，则需要负责摄像头的拆卸与修复后的安装，摄像头硬件修复费用不含在本项目内。</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二次样本采集</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pPr>
      <w:r>
        <w:rPr>
          <w:rFonts w:hint="eastAsia" w:ascii="宋体" w:hAnsi="宋体" w:cs="宋体"/>
          <w:color w:val="000000"/>
          <w:sz w:val="24"/>
        </w:rPr>
        <w:t>在森林复杂环境中重新拍摄害虫及虫害照片（不可用样本库中照片）用开发完成的识别系统做样本准确性测试，必须包含以下：竹螟、卵圆蝽、一字竹象虫、竹笋夜蛾、竹蝉、竹长白蚧、竹叶螨、蚜虫8个样本的害虫与病害测试，害虫与病害的每种样本检测不少于300个。</w:t>
      </w:r>
      <w:r>
        <w:br w:type="page"/>
      </w:r>
    </w:p>
    <w:p>
      <w:pPr>
        <w:ind w:firstLine="420"/>
        <w:jc w:val="center"/>
        <w:rPr>
          <w:rFonts w:ascii="宋体" w:hAnsi="宋体" w:cs="宋体"/>
          <w:color w:val="000000"/>
          <w:sz w:val="32"/>
          <w:szCs w:val="32"/>
        </w:rPr>
      </w:pPr>
      <w:r>
        <w:rPr>
          <w:rFonts w:hint="eastAsia" w:ascii="宋体" w:hAnsi="宋体" w:cs="宋体"/>
          <w:color w:val="000000"/>
          <w:sz w:val="32"/>
          <w:szCs w:val="32"/>
        </w:rPr>
        <w:t>第四章  评审办法</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一、磋商原则及办法</w:t>
      </w:r>
    </w:p>
    <w:p>
      <w:pPr>
        <w:spacing w:line="360" w:lineRule="auto"/>
        <w:ind w:firstLine="480" w:firstLineChars="200"/>
        <w:rPr>
          <w:rFonts w:ascii="宋体" w:hAnsi="宋体" w:cs="宋体"/>
          <w:color w:val="000000"/>
          <w:sz w:val="24"/>
        </w:rPr>
      </w:pPr>
      <w:r>
        <w:rPr>
          <w:rFonts w:hint="eastAsia" w:ascii="宋体" w:hAnsi="宋体" w:cs="宋体"/>
          <w:color w:val="000000"/>
          <w:sz w:val="24"/>
        </w:rPr>
        <w:t>1.采购人依法组建磋商小组,磋商小组由三人及以上成员组成。磋商小组对响应文件进行审查、评议和比较，对采购内容进行必要的磋商。</w:t>
      </w:r>
    </w:p>
    <w:p>
      <w:pPr>
        <w:spacing w:line="360" w:lineRule="auto"/>
        <w:ind w:firstLine="480" w:firstLineChars="200"/>
        <w:rPr>
          <w:rFonts w:ascii="宋体" w:hAnsi="宋体" w:cs="宋体"/>
          <w:color w:val="000000"/>
          <w:sz w:val="24"/>
        </w:rPr>
      </w:pPr>
      <w:r>
        <w:rPr>
          <w:rFonts w:hint="eastAsia" w:ascii="宋体" w:hAnsi="宋体" w:cs="宋体"/>
          <w:color w:val="000000"/>
          <w:sz w:val="24"/>
        </w:rPr>
        <w:t>2.如供应商响应文件不符合采购要求的，或含有采购人不能接受的附加条件的，磋商小组有权拒绝其响应文件。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3.在磋商期间，响应人应派代表参加磋商，响应人如不派代表参加的，事后不得对采购相关人员、磋商过程和磋商结果提出异议。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宋体"/>
          <w:color w:val="000000"/>
          <w:sz w:val="24"/>
        </w:rPr>
      </w:pPr>
      <w:r>
        <w:rPr>
          <w:rFonts w:hint="eastAsia" w:ascii="宋体" w:hAnsi="宋体" w:cs="宋体"/>
          <w:color w:val="000000"/>
          <w:sz w:val="24"/>
        </w:rPr>
        <w:t>4.磋商小组所有成员应当集中与单一投标人分别进行磋商，并给予所有参加磋商的投标人平等的磋商机会。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5.磋商小组在对响应文件的有效性、完整性和响应程度进行审查时，可以要求投标人对响应文件中含义不明确、同类问题表述不一致或者有明显文字和计算错误的内容等做出必要的澄清、说明或者更正。投标人的澄清、说明或者更正应当由法定代表人或其授权代表签字或者加盖公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6.在磋商过程中，磋商小组可以根据磋商文件和磋商情况实质性变动采购需求中的技术、服务要求以及合同草案条款。</w:t>
      </w:r>
    </w:p>
    <w:p>
      <w:pPr>
        <w:spacing w:line="360" w:lineRule="auto"/>
        <w:ind w:firstLine="480" w:firstLineChars="200"/>
        <w:rPr>
          <w:rFonts w:ascii="宋体" w:hAnsi="宋体" w:cs="宋体"/>
          <w:color w:val="000000"/>
          <w:sz w:val="24"/>
        </w:rPr>
      </w:pPr>
      <w:r>
        <w:rPr>
          <w:rFonts w:hint="eastAsia" w:ascii="宋体" w:hAnsi="宋体" w:cs="宋体"/>
          <w:color w:val="000000"/>
          <w:sz w:val="24"/>
        </w:rPr>
        <w:t>7.磋商结束后，磋商小组对所有实质性响应的投标人进行商务技术评分，商务技术得分结果出来后由有效磋商响应人在规定时间内提交最终报价（最终报价确定后公布商务技术得分），提交最终报价的投标人一般不得少于3家。最终报价是投标人响应文件的有效组成部分。</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8.本次磋商采用综合评分法，总分100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2位。</w:t>
      </w:r>
    </w:p>
    <w:p>
      <w:pPr>
        <w:pStyle w:val="7"/>
        <w:snapToGrid w:val="0"/>
        <w:spacing w:line="360" w:lineRule="auto"/>
        <w:ind w:firstLine="482" w:firstLineChars="200"/>
        <w:outlineLvl w:val="1"/>
        <w:rPr>
          <w:rFonts w:hAnsi="宋体" w:cs="宋体"/>
          <w:b/>
          <w:color w:val="000000"/>
          <w:sz w:val="24"/>
        </w:rPr>
      </w:pPr>
    </w:p>
    <w:p>
      <w:pPr>
        <w:widowControl/>
        <w:jc w:val="left"/>
        <w:rPr>
          <w:rFonts w:ascii="宋体" w:hAnsi="宋体" w:cs="宋体"/>
          <w:b/>
          <w:color w:val="000000"/>
          <w:kern w:val="0"/>
          <w:sz w:val="24"/>
          <w:szCs w:val="20"/>
        </w:rPr>
      </w:pPr>
      <w:r>
        <w:rPr>
          <w:rFonts w:hAnsi="宋体" w:cs="宋体"/>
          <w:b/>
          <w:color w:val="000000"/>
          <w:sz w:val="24"/>
        </w:rPr>
        <w:br w:type="page"/>
      </w:r>
    </w:p>
    <w:p>
      <w:pPr>
        <w:pStyle w:val="7"/>
        <w:snapToGrid w:val="0"/>
        <w:spacing w:line="360" w:lineRule="auto"/>
        <w:ind w:firstLine="482" w:firstLineChars="200"/>
        <w:outlineLvl w:val="1"/>
      </w:pPr>
      <w:r>
        <w:rPr>
          <w:rFonts w:hint="eastAsia" w:hAnsi="宋体" w:cs="宋体"/>
          <w:b/>
          <w:color w:val="000000"/>
          <w:sz w:val="24"/>
        </w:rPr>
        <w:t>二、评审内容及评审标准</w:t>
      </w:r>
    </w:p>
    <w:tbl>
      <w:tblPr>
        <w:tblStyle w:val="15"/>
        <w:tblpPr w:leftFromText="180" w:rightFromText="180" w:vertAnchor="text" w:horzAnchor="page" w:tblpX="1451" w:tblpY="19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421"/>
        <w:gridCol w:w="552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98" w:type="dxa"/>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bookmarkStart w:id="1" w:name="_Hlk85206427"/>
            <w:r>
              <w:rPr>
                <w:rFonts w:hint="eastAsia" w:ascii="宋体" w:hAnsi="宋体" w:eastAsia="宋体" w:cs="宋体"/>
                <w:color w:val="000000" w:themeColor="text1"/>
                <w:sz w:val="21"/>
                <w:szCs w:val="21"/>
                <w:highlight w:val="none"/>
                <w14:textFill>
                  <w14:solidFill>
                    <w14:schemeClr w14:val="tx1"/>
                  </w14:solidFill>
                </w14:textFill>
              </w:rPr>
              <w:t>类  别</w:t>
            </w:r>
          </w:p>
        </w:tc>
        <w:tc>
          <w:tcPr>
            <w:tcW w:w="1421" w:type="dxa"/>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  目</w:t>
            </w:r>
          </w:p>
        </w:tc>
        <w:tc>
          <w:tcPr>
            <w:tcW w:w="5522" w:type="dxa"/>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具体描述</w:t>
            </w:r>
          </w:p>
        </w:tc>
        <w:tc>
          <w:tcPr>
            <w:tcW w:w="992" w:type="dxa"/>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198" w:type="dxa"/>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报价得分</w:t>
            </w:r>
          </w:p>
        </w:tc>
        <w:tc>
          <w:tcPr>
            <w:tcW w:w="1421" w:type="dxa"/>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  价</w:t>
            </w:r>
          </w:p>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522" w:type="dxa"/>
            <w:noWrap/>
            <w:vAlign w:val="center"/>
          </w:tcPr>
          <w:p>
            <w:pPr>
              <w:widowControl/>
              <w:spacing w:line="4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本次采购项目预算：25万元</w:t>
            </w:r>
            <w:r>
              <w:rPr>
                <w:rFonts w:hint="eastAsia" w:ascii="宋体" w:hAnsi="宋体" w:eastAsia="宋体" w:cs="宋体"/>
                <w:color w:val="000000" w:themeColor="text1"/>
                <w:sz w:val="21"/>
                <w:szCs w:val="21"/>
                <w:highlight w:val="none"/>
                <w14:textFill>
                  <w14:solidFill>
                    <w14:schemeClr w14:val="tx1"/>
                  </w14:solidFill>
                </w14:textFill>
              </w:rPr>
              <w:t>。基准价为所有投标人有效报价的最低价，投标报价得分=(基准价/投标报价)×30，四舍五入，保留两位小数。报价高于预算价格的，为无效投标文件。（0-30分）</w:t>
            </w:r>
          </w:p>
        </w:tc>
        <w:tc>
          <w:tcPr>
            <w:tcW w:w="992" w:type="dxa"/>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98" w:type="dxa"/>
            <w:vMerge w:val="restart"/>
            <w:noWrap/>
            <w:vAlign w:val="center"/>
          </w:tcPr>
          <w:p>
            <w:pPr>
              <w:widowControl/>
              <w:spacing w:line="46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技术商务得分</w:t>
            </w:r>
          </w:p>
        </w:tc>
        <w:tc>
          <w:tcPr>
            <w:tcW w:w="1421" w:type="dxa"/>
            <w:vMerge w:val="restart"/>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项目需求实施方案</w:t>
            </w:r>
          </w:p>
        </w:tc>
        <w:tc>
          <w:tcPr>
            <w:tcW w:w="5522" w:type="dxa"/>
            <w:noWrap/>
            <w:vAlign w:val="center"/>
          </w:tcPr>
          <w:p>
            <w:pPr>
              <w:widowControl/>
              <w:shd w:val="clear" w:color="auto" w:fill="FFFFFF"/>
              <w:spacing w:line="460" w:lineRule="exac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对安吉当地地理环境概况情况理解与认知，根据响应文件的响应内容进行综合评定：好4-</w:t>
            </w:r>
            <w:r>
              <w:rPr>
                <w:rFonts w:hint="eastAsia" w:ascii="宋体" w:hAnsi="宋体" w:eastAsia="宋体" w:cs="宋体"/>
                <w:bCs/>
                <w:color w:val="000000" w:themeColor="text1"/>
                <w:sz w:val="21"/>
                <w:szCs w:val="21"/>
                <w:highlight w:val="none"/>
                <w14:textFill>
                  <w14:solidFill>
                    <w14:schemeClr w14:val="tx1"/>
                  </w14:solidFill>
                </w14:textFill>
              </w:rPr>
              <w:t>5</w:t>
            </w:r>
            <w:r>
              <w:rPr>
                <w:rFonts w:hint="eastAsia" w:ascii="宋体" w:hAnsi="宋体" w:eastAsia="宋体" w:cs="宋体"/>
                <w:bCs/>
                <w:color w:val="000000" w:themeColor="text1"/>
                <w:sz w:val="21"/>
                <w:szCs w:val="21"/>
                <w:highlight w:val="none"/>
                <w:lang w:val="zh-CN"/>
                <w14:textFill>
                  <w14:solidFill>
                    <w14:schemeClr w14:val="tx1"/>
                  </w14:solidFill>
                </w14:textFill>
              </w:rPr>
              <w:t>分，良好</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hAnsi="宋体" w:eastAsia="宋体" w:cs="宋体"/>
                <w:bCs/>
                <w:color w:val="000000" w:themeColor="text1"/>
                <w:sz w:val="21"/>
                <w:szCs w:val="21"/>
                <w:highlight w:val="none"/>
                <w:lang w:val="zh-CN"/>
                <w14:textFill>
                  <w14:solidFill>
                    <w14:schemeClr w14:val="tx1"/>
                  </w14:solidFill>
                </w14:textFill>
              </w:rPr>
              <w:t>分，一般</w:t>
            </w:r>
            <w:r>
              <w:rPr>
                <w:rFonts w:hint="eastAsia" w:ascii="宋体" w:hAnsi="宋体" w:eastAsia="宋体" w:cs="宋体"/>
                <w:bCs/>
                <w:color w:val="000000" w:themeColor="text1"/>
                <w:sz w:val="21"/>
                <w:szCs w:val="21"/>
                <w:highlight w:val="none"/>
                <w14:textFill>
                  <w14:solidFill>
                    <w14:schemeClr w14:val="tx1"/>
                  </w14:solidFill>
                </w14:textFill>
              </w:rPr>
              <w:t>0-</w:t>
            </w:r>
            <w:r>
              <w:rPr>
                <w:rFonts w:hint="eastAsia" w:ascii="宋体" w:hAnsi="宋体" w:eastAsia="宋体" w:cs="宋体"/>
                <w:bCs/>
                <w:color w:val="000000" w:themeColor="text1"/>
                <w:sz w:val="21"/>
                <w:szCs w:val="21"/>
                <w:highlight w:val="none"/>
                <w:lang w:val="zh-CN"/>
                <w14:textFill>
                  <w14:solidFill>
                    <w14:schemeClr w14:val="tx1"/>
                  </w14:solidFill>
                </w14:textFill>
              </w:rPr>
              <w:t>1分。（0-5分）</w:t>
            </w:r>
          </w:p>
        </w:tc>
        <w:tc>
          <w:tcPr>
            <w:tcW w:w="992" w:type="dxa"/>
            <w:vMerge w:val="restart"/>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98" w:type="dxa"/>
            <w:vMerge w:val="continue"/>
            <w:noWrap/>
            <w:vAlign w:val="center"/>
          </w:tcPr>
          <w:p>
            <w:pPr>
              <w:widowControl/>
              <w:spacing w:line="460" w:lineRule="exact"/>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1421" w:type="dxa"/>
            <w:vMerge w:val="continue"/>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522" w:type="dxa"/>
            <w:noWrap/>
            <w:vAlign w:val="center"/>
          </w:tcPr>
          <w:p>
            <w:pPr>
              <w:widowControl/>
              <w:shd w:val="clear" w:color="auto" w:fill="FFFFFF"/>
              <w:spacing w:line="460" w:lineRule="exac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数据样本采集部分提供完善的项目实施方案，委托方根据方案可行性进行评分，实施方案详细描述，对项目实施过程中的各个阶段都有详细描述，如各项均有，视提交内容是否思路清晰、安排合理、目标明确进行打分：符合得10-12分，一般符合得7-9分，基本符合得4-6分，不符合得0-3分。（0-12分）</w:t>
            </w:r>
          </w:p>
        </w:tc>
        <w:tc>
          <w:tcPr>
            <w:tcW w:w="992" w:type="dxa"/>
            <w:vMerge w:val="continue"/>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98" w:type="dxa"/>
            <w:vMerge w:val="continue"/>
            <w:noWrap/>
            <w:vAlign w:val="center"/>
          </w:tcPr>
          <w:p>
            <w:pPr>
              <w:widowControl/>
              <w:spacing w:line="460" w:lineRule="exact"/>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1421" w:type="dxa"/>
            <w:vMerge w:val="continue"/>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522" w:type="dxa"/>
            <w:noWrap/>
            <w:vAlign w:val="center"/>
          </w:tcPr>
          <w:p>
            <w:pPr>
              <w:widowControl/>
              <w:shd w:val="clear" w:color="auto" w:fill="FFFFFF"/>
              <w:spacing w:line="460" w:lineRule="exac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硬件对接部分提供完善的项目实施方案，委托方根据方案可行性进行评分，实施方案详细描述，对项目实施过程中的各个阶段都有详细描述，如各项均有，视提交内容是否思路清晰、安排合理、目标明确进行打分：符合得8-10分，一般符合得6-7分，基本符合得4-5分，不符合得0-3分。（0-10分）</w:t>
            </w:r>
          </w:p>
        </w:tc>
        <w:tc>
          <w:tcPr>
            <w:tcW w:w="992" w:type="dxa"/>
            <w:vMerge w:val="continue"/>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198" w:type="dxa"/>
            <w:vMerge w:val="continue"/>
            <w:noWrap/>
            <w:vAlign w:val="center"/>
          </w:tcPr>
          <w:p>
            <w:pPr>
              <w:spacing w:line="46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421"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服务响应时效能力</w:t>
            </w:r>
          </w:p>
        </w:tc>
        <w:tc>
          <w:tcPr>
            <w:tcW w:w="5522" w:type="dxa"/>
            <w:noWrap/>
            <w:vAlign w:val="center"/>
          </w:tcPr>
          <w:p>
            <w:pPr>
              <w:pStyle w:val="7"/>
              <w:spacing w:line="360" w:lineRule="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承诺派专人（具备解决能力的工程师）到达项目实施现场（安吉、衢州）进行服务:24小时内达到得10分，48小时内到达得5分，72小时内到达得2分，超出72小时得0分。（0-10分）</w:t>
            </w:r>
          </w:p>
        </w:tc>
        <w:tc>
          <w:tcPr>
            <w:tcW w:w="992"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98" w:type="dxa"/>
            <w:vMerge w:val="continue"/>
            <w:noWrap/>
            <w:vAlign w:val="center"/>
          </w:tcPr>
          <w:p>
            <w:pPr>
              <w:spacing w:line="46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421"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业绩情况</w:t>
            </w:r>
          </w:p>
        </w:tc>
        <w:tc>
          <w:tcPr>
            <w:tcW w:w="5522" w:type="dxa"/>
            <w:noWrap/>
            <w:vAlign w:val="center"/>
          </w:tcPr>
          <w:p>
            <w:pPr>
              <w:widowControl/>
              <w:shd w:val="clear" w:color="auto" w:fill="FFFFFF"/>
              <w:spacing w:line="4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磋商响应方自2018年1月1日至今（</w:t>
            </w:r>
            <w:r>
              <w:rPr>
                <w:rFonts w:hint="eastAsia" w:ascii="宋体" w:hAnsi="宋体" w:eastAsia="宋体" w:cs="宋体"/>
                <w:color w:val="000000" w:themeColor="text1"/>
                <w:sz w:val="21"/>
                <w:szCs w:val="21"/>
                <w:highlight w:val="none"/>
                <w14:textFill>
                  <w14:solidFill>
                    <w14:schemeClr w14:val="tx1"/>
                  </w14:solidFill>
                </w14:textFill>
              </w:rPr>
              <w:t>以合同签订时间为准）</w:t>
            </w:r>
            <w:r>
              <w:rPr>
                <w:rFonts w:hint="eastAsia" w:ascii="宋体" w:hAnsi="宋体" w:eastAsia="宋体" w:cs="宋体"/>
                <w:bCs/>
                <w:color w:val="000000" w:themeColor="text1"/>
                <w:sz w:val="21"/>
                <w:szCs w:val="21"/>
                <w:highlight w:val="none"/>
                <w14:textFill>
                  <w14:solidFill>
                    <w14:schemeClr w14:val="tx1"/>
                  </w14:solidFill>
                </w14:textFill>
              </w:rPr>
              <w:t>承接的系统开发、数据对接类项目：每提供一个有效合同复印件得2分，最高得10分，有效合同复印件须提供合同原件核查，无合同原件不得分。（0-10分）</w:t>
            </w:r>
          </w:p>
        </w:tc>
        <w:tc>
          <w:tcPr>
            <w:tcW w:w="992"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98" w:type="dxa"/>
            <w:vMerge w:val="continue"/>
            <w:noWrap/>
            <w:vAlign w:val="center"/>
          </w:tcPr>
          <w:p>
            <w:pPr>
              <w:spacing w:line="46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421"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企业认证</w:t>
            </w:r>
          </w:p>
        </w:tc>
        <w:tc>
          <w:tcPr>
            <w:tcW w:w="5522" w:type="dxa"/>
            <w:noWrap/>
            <w:vAlign w:val="center"/>
          </w:tcPr>
          <w:p>
            <w:pPr>
              <w:widowControl/>
              <w:shd w:val="clear" w:color="auto" w:fill="FFFFFF"/>
              <w:spacing w:line="460" w:lineRule="exac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具备软件企业认定证书、高新技术企业证书、ISO9001认证等每项得2分，满分6分。（0-6分）</w:t>
            </w:r>
          </w:p>
        </w:tc>
        <w:tc>
          <w:tcPr>
            <w:tcW w:w="992"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98" w:type="dxa"/>
            <w:vMerge w:val="continue"/>
            <w:noWrap/>
            <w:vAlign w:val="center"/>
          </w:tcPr>
          <w:p>
            <w:pPr>
              <w:spacing w:line="46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421"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项目组人员配置</w:t>
            </w:r>
          </w:p>
        </w:tc>
        <w:tc>
          <w:tcPr>
            <w:tcW w:w="5522" w:type="dxa"/>
            <w:noWrap/>
            <w:vAlign w:val="center"/>
          </w:tcPr>
          <w:p>
            <w:pPr>
              <w:widowControl/>
              <w:shd w:val="clear" w:color="auto" w:fill="FFFFFF"/>
              <w:spacing w:line="460" w:lineRule="exac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提供项目组成员的素质、专业技术能力、及与本项目相关从业经验的证明材料，优得</w:t>
            </w:r>
            <w:r>
              <w:rPr>
                <w:rFonts w:hint="eastAsia" w:ascii="宋体" w:hAnsi="宋体" w:eastAsia="宋体" w:cs="宋体"/>
                <w:color w:val="000000" w:themeColor="text1"/>
                <w:sz w:val="21"/>
                <w:szCs w:val="21"/>
                <w:highlight w:val="none"/>
                <w14:textFill>
                  <w14:solidFill>
                    <w14:schemeClr w14:val="tx1"/>
                  </w14:solidFill>
                </w14:textFill>
              </w:rPr>
              <w:t>5-6分</w:t>
            </w:r>
            <w:r>
              <w:rPr>
                <w:rFonts w:hint="eastAsia" w:ascii="宋体" w:hAnsi="宋体" w:eastAsia="宋体" w:cs="宋体"/>
                <w:color w:val="000000" w:themeColor="text1"/>
                <w:sz w:val="21"/>
                <w:szCs w:val="21"/>
                <w:highlight w:val="none"/>
                <w:lang w:val="zh-CN"/>
                <w14:textFill>
                  <w14:solidFill>
                    <w14:schemeClr w14:val="tx1"/>
                  </w14:solidFill>
                </w14:textFill>
              </w:rPr>
              <w:t>，良好得</w:t>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lang w:val="zh-CN"/>
                <w14:textFill>
                  <w14:solidFill>
                    <w14:schemeClr w14:val="tx1"/>
                  </w14:solidFill>
                </w14:textFill>
              </w:rPr>
              <w:t>分，一般得1-2分。</w:t>
            </w:r>
            <w:r>
              <w:rPr>
                <w:rFonts w:hint="eastAsia" w:ascii="宋体" w:hAnsi="宋体" w:eastAsia="宋体" w:cs="宋体"/>
                <w:bCs/>
                <w:color w:val="000000" w:themeColor="text1"/>
                <w:sz w:val="21"/>
                <w:szCs w:val="21"/>
                <w:highlight w:val="none"/>
                <w14:textFill>
                  <w14:solidFill>
                    <w14:schemeClr w14:val="tx1"/>
                  </w14:solidFill>
                </w14:textFill>
              </w:rPr>
              <w:t>（0-6分）</w:t>
            </w:r>
          </w:p>
        </w:tc>
        <w:tc>
          <w:tcPr>
            <w:tcW w:w="992"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98" w:type="dxa"/>
            <w:vMerge w:val="continue"/>
            <w:noWrap/>
            <w:vAlign w:val="center"/>
          </w:tcPr>
          <w:p>
            <w:pPr>
              <w:spacing w:line="46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421" w:type="dxa"/>
            <w:noWrap/>
            <w:vAlign w:val="center"/>
          </w:tcPr>
          <w:p>
            <w:pPr>
              <w:spacing w:line="460" w:lineRule="exact"/>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硬件对接售后质量</w:t>
            </w:r>
          </w:p>
        </w:tc>
        <w:tc>
          <w:tcPr>
            <w:tcW w:w="5522" w:type="dxa"/>
            <w:noWrap/>
            <w:vAlign w:val="center"/>
          </w:tcPr>
          <w:p>
            <w:pPr>
              <w:widowControl/>
              <w:shd w:val="clear" w:color="auto" w:fill="FFFFFF"/>
              <w:spacing w:line="460" w:lineRule="exact"/>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项目完成后1年内，数据提取失败时，免费提供上门（安吉森林中）维护次数，承诺每提供1次得1分，最高得8分。（0-8分）</w:t>
            </w:r>
          </w:p>
        </w:tc>
        <w:tc>
          <w:tcPr>
            <w:tcW w:w="992" w:type="dxa"/>
            <w:noWrap/>
            <w:vAlign w:val="center"/>
          </w:tcPr>
          <w:p>
            <w:pPr>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198" w:type="dxa"/>
            <w:vMerge w:val="continue"/>
            <w:noWrap/>
            <w:vAlign w:val="center"/>
          </w:tcPr>
          <w:p>
            <w:pPr>
              <w:widowControl/>
              <w:spacing w:line="46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421" w:type="dxa"/>
            <w:noWrap/>
            <w:vAlign w:val="center"/>
          </w:tcPr>
          <w:p>
            <w:pPr>
              <w:widowControl/>
              <w:spacing w:line="46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响应文件</w:t>
            </w:r>
          </w:p>
          <w:p>
            <w:pPr>
              <w:widowControl/>
              <w:spacing w:line="46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制作</w:t>
            </w:r>
          </w:p>
        </w:tc>
        <w:tc>
          <w:tcPr>
            <w:tcW w:w="5522" w:type="dxa"/>
            <w:noWrap/>
            <w:vAlign w:val="center"/>
          </w:tcPr>
          <w:p>
            <w:pPr>
              <w:widowControl/>
              <w:spacing w:before="156" w:line="3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投标文件是否编制完整，格式规范、内容齐全、表达准确、条理清晰、内容无前后矛盾，符合采购文件要求；（0-3分）</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tc>
        <w:tc>
          <w:tcPr>
            <w:tcW w:w="992" w:type="dxa"/>
            <w:noWrap/>
            <w:vAlign w:val="center"/>
          </w:tcPr>
          <w:p>
            <w:pPr>
              <w:widowControl/>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r>
      <w:bookmarkEnd w:id="1"/>
    </w:tbl>
    <w:p>
      <w:pPr>
        <w:spacing w:line="360" w:lineRule="auto"/>
        <w:jc w:val="center"/>
        <w:outlineLvl w:val="0"/>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第五章 合同主要条款</w:t>
      </w:r>
    </w:p>
    <w:p>
      <w:pPr>
        <w:spacing w:line="360" w:lineRule="auto"/>
        <w:jc w:val="center"/>
        <w:rPr>
          <w:rFonts w:ascii="宋体" w:hAnsi="宋体" w:cs="宋体"/>
          <w:b/>
          <w:sz w:val="24"/>
        </w:rPr>
      </w:pPr>
      <w:r>
        <w:rPr>
          <w:rFonts w:hint="eastAsia" w:ascii="宋体" w:hAnsi="宋体" w:cs="宋体"/>
          <w:b/>
          <w:sz w:val="24"/>
          <w:lang w:eastAsia="zh-CN"/>
        </w:rPr>
        <w:t>毛竹重大病虫害样本数据采集及硬件对接服务</w:t>
      </w:r>
      <w:r>
        <w:rPr>
          <w:rFonts w:hint="eastAsia" w:ascii="宋体" w:hAnsi="宋体" w:cs="宋体"/>
          <w:b/>
          <w:sz w:val="24"/>
        </w:rPr>
        <w:t>合同</w:t>
      </w:r>
    </w:p>
    <w:p>
      <w:pPr>
        <w:spacing w:line="360" w:lineRule="auto"/>
        <w:rPr>
          <w:rFonts w:ascii="宋体" w:hAnsi="宋体" w:cs="宋体"/>
          <w:sz w:val="24"/>
        </w:rPr>
      </w:pPr>
      <w:r>
        <w:rPr>
          <w:rFonts w:hint="eastAsia" w:ascii="宋体" w:hAnsi="宋体" w:cs="宋体"/>
          <w:sz w:val="24"/>
        </w:rPr>
        <w:t>甲  方：衢州学院                     乙  方：</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bCs/>
          <w:sz w:val="24"/>
        </w:rPr>
        <w:t>衢州市九华北大道78号</w:t>
      </w:r>
      <w:r>
        <w:rPr>
          <w:rFonts w:hint="eastAsia" w:ascii="宋体" w:hAnsi="宋体" w:cs="宋体"/>
          <w:sz w:val="24"/>
        </w:rPr>
        <w:t xml:space="preserve">        地  址：</w:t>
      </w:r>
    </w:p>
    <w:p>
      <w:pPr>
        <w:spacing w:line="360" w:lineRule="auto"/>
        <w:rPr>
          <w:rFonts w:ascii="宋体" w:hAnsi="宋体" w:cs="宋体"/>
          <w:sz w:val="24"/>
        </w:rPr>
      </w:pPr>
      <w:r>
        <w:rPr>
          <w:rFonts w:hint="eastAsia" w:ascii="宋体" w:hAnsi="宋体" w:cs="宋体"/>
          <w:sz w:val="24"/>
        </w:rPr>
        <w:t>邮  编：324000                       邮  编：</w:t>
      </w:r>
    </w:p>
    <w:p>
      <w:pPr>
        <w:spacing w:line="360" w:lineRule="auto"/>
        <w:rPr>
          <w:rFonts w:ascii="宋体" w:hAnsi="宋体" w:cs="宋体"/>
          <w:sz w:val="24"/>
        </w:rPr>
      </w:pPr>
      <w:r>
        <w:rPr>
          <w:rFonts w:hint="eastAsia" w:ascii="宋体" w:hAnsi="宋体" w:cs="宋体"/>
          <w:sz w:val="24"/>
        </w:rPr>
        <w:t>联系人：                             联系人：</w:t>
      </w:r>
    </w:p>
    <w:p>
      <w:pPr>
        <w:spacing w:line="360" w:lineRule="auto"/>
        <w:rPr>
          <w:rFonts w:ascii="宋体" w:hAnsi="宋体" w:cs="宋体"/>
          <w:sz w:val="24"/>
        </w:rPr>
      </w:pPr>
      <w:r>
        <w:rPr>
          <w:rFonts w:hint="eastAsia" w:ascii="宋体" w:hAnsi="宋体" w:cs="宋体"/>
          <w:sz w:val="24"/>
        </w:rPr>
        <w:t>电  话：                             电  话：</w:t>
      </w:r>
    </w:p>
    <w:p>
      <w:pPr>
        <w:spacing w:line="360" w:lineRule="auto"/>
        <w:jc w:val="right"/>
        <w:rPr>
          <w:rFonts w:ascii="宋体" w:hAnsi="宋体" w:cs="宋体"/>
          <w:sz w:val="24"/>
        </w:rPr>
      </w:pPr>
      <w:r>
        <w:rPr>
          <w:rFonts w:hint="eastAsia" w:ascii="宋体" w:hAnsi="宋体" w:cs="宋体"/>
          <w:sz w:val="24"/>
        </w:rPr>
        <w:t>签约地点：浙江衢州</w:t>
      </w:r>
    </w:p>
    <w:p>
      <w:pPr>
        <w:spacing w:line="360" w:lineRule="auto"/>
        <w:ind w:firstLine="482" w:firstLineChars="200"/>
        <w:rPr>
          <w:rFonts w:ascii="宋体" w:hAnsi="宋体"/>
          <w:b/>
          <w:sz w:val="24"/>
        </w:rPr>
      </w:pPr>
      <w:r>
        <w:rPr>
          <w:rFonts w:hint="eastAsia" w:ascii="宋体" w:hAnsi="宋体"/>
          <w:b/>
          <w:sz w:val="24"/>
        </w:rPr>
        <w:t>一、说  明</w:t>
      </w:r>
    </w:p>
    <w:p>
      <w:pPr>
        <w:spacing w:line="480" w:lineRule="exact"/>
        <w:rPr>
          <w:rFonts w:ascii="宋体" w:hAnsi="宋体"/>
          <w:sz w:val="24"/>
        </w:rPr>
      </w:pPr>
      <w:r>
        <w:rPr>
          <w:rFonts w:hint="eastAsia" w:ascii="宋体" w:hAnsi="宋体"/>
          <w:sz w:val="24"/>
        </w:rPr>
        <w:t xml:space="preserve">    </w:t>
      </w:r>
      <w:r>
        <w:rPr>
          <w:rFonts w:ascii="宋体" w:hAnsi="宋体"/>
          <w:sz w:val="24"/>
        </w:rPr>
        <w:t>1.依据《中华人民共和国</w:t>
      </w:r>
      <w:r>
        <w:rPr>
          <w:rFonts w:hint="eastAsia" w:ascii="宋体" w:hAnsi="宋体"/>
          <w:sz w:val="24"/>
        </w:rPr>
        <w:t>民法典</w:t>
      </w:r>
      <w:r>
        <w:rPr>
          <w:rFonts w:ascii="宋体" w:hAnsi="宋体"/>
          <w:sz w:val="24"/>
        </w:rPr>
        <w:t>》的规定，现就甲方向乙方购买</w:t>
      </w:r>
      <w:r>
        <w:rPr>
          <w:rFonts w:hint="eastAsia" w:ascii="宋体" w:hAnsi="宋体" w:cs="宋体"/>
          <w:b/>
          <w:bCs/>
          <w:color w:val="000000"/>
          <w:sz w:val="24"/>
          <w:szCs w:val="32"/>
          <w:lang w:val="zh-CN"/>
        </w:rPr>
        <w:t>毛竹重大病虫害样本数据采集及硬件对接服务</w:t>
      </w:r>
      <w:r>
        <w:t>，</w:t>
      </w:r>
      <w:r>
        <w:rPr>
          <w:rFonts w:ascii="宋体" w:hAnsi="宋体"/>
          <w:sz w:val="24"/>
        </w:rPr>
        <w:t>经双方协商一致本着平等自愿的原则签订本合同。</w:t>
      </w:r>
    </w:p>
    <w:p>
      <w:pPr>
        <w:pStyle w:val="12"/>
        <w:spacing w:beforeAutospacing="0" w:afterAutospacing="0" w:line="360" w:lineRule="auto"/>
        <w:ind w:firstLine="480" w:firstLineChars="200"/>
        <w:rPr>
          <w:color w:val="000000"/>
          <w:kern w:val="2"/>
        </w:rPr>
      </w:pPr>
      <w:r>
        <w:rPr>
          <w:kern w:val="2"/>
        </w:rPr>
        <w:t>2.招标文件，投标文件</w:t>
      </w:r>
      <w:r>
        <w:rPr>
          <w:color w:val="000000"/>
          <w:kern w:val="2"/>
        </w:rPr>
        <w:t>，评标文件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Autospacing="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5"/>
        <w:tblW w:w="854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4252"/>
        <w:gridCol w:w="141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889"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4252"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1418" w:type="dxa"/>
            <w:vAlign w:val="center"/>
          </w:tcPr>
          <w:p>
            <w:pPr>
              <w:pStyle w:val="7"/>
              <w:snapToGrid w:val="0"/>
              <w:spacing w:line="360" w:lineRule="auto"/>
              <w:rPr>
                <w:rFonts w:hAnsi="宋体"/>
                <w:color w:val="000000"/>
                <w:sz w:val="24"/>
                <w:szCs w:val="24"/>
              </w:rPr>
            </w:pPr>
            <w:r>
              <w:rPr>
                <w:rFonts w:hint="eastAsia" w:hAnsi="宋体"/>
                <w:color w:val="000000"/>
                <w:sz w:val="24"/>
                <w:szCs w:val="24"/>
              </w:rPr>
              <w:t>数量/单位</w:t>
            </w:r>
          </w:p>
        </w:tc>
        <w:tc>
          <w:tcPr>
            <w:tcW w:w="984" w:type="dxa"/>
            <w:vAlign w:val="center"/>
          </w:tcPr>
          <w:p>
            <w:pPr>
              <w:pStyle w:val="7"/>
              <w:snapToGrid w:val="0"/>
              <w:spacing w:line="360" w:lineRule="auto"/>
              <w:rPr>
                <w:rFonts w:hAnsi="宋体"/>
                <w:color w:val="000000"/>
                <w:sz w:val="24"/>
                <w:szCs w:val="24"/>
              </w:rPr>
            </w:pPr>
            <w:r>
              <w:rPr>
                <w:rFonts w:hint="eastAsia" w:hAnsi="宋体"/>
                <w:color w:val="000000"/>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889" w:type="dxa"/>
            <w:vAlign w:val="center"/>
          </w:tcPr>
          <w:p>
            <w:pPr>
              <w:snapToGrid w:val="0"/>
              <w:spacing w:line="420" w:lineRule="exact"/>
              <w:jc w:val="center"/>
              <w:rPr>
                <w:rFonts w:ascii="Tahoma" w:hAnsi="Tahoma" w:cs="Tahoma"/>
                <w:color w:val="333333"/>
                <w:szCs w:val="21"/>
                <w:shd w:val="clear" w:color="auto" w:fill="FFFFFF"/>
              </w:rPr>
            </w:pPr>
          </w:p>
        </w:tc>
        <w:tc>
          <w:tcPr>
            <w:tcW w:w="4252" w:type="dxa"/>
            <w:vAlign w:val="center"/>
          </w:tcPr>
          <w:p>
            <w:pPr>
              <w:jc w:val="left"/>
              <w:rPr>
                <w:rFonts w:ascii="Tahoma" w:hAnsi="Tahoma" w:cs="Tahoma"/>
                <w:color w:val="333333"/>
                <w:szCs w:val="21"/>
                <w:shd w:val="clear" w:color="auto" w:fill="FFFFFF"/>
              </w:rPr>
            </w:pPr>
          </w:p>
        </w:tc>
        <w:tc>
          <w:tcPr>
            <w:tcW w:w="1418" w:type="dxa"/>
            <w:vAlign w:val="center"/>
          </w:tcPr>
          <w:p>
            <w:pPr>
              <w:spacing w:line="360" w:lineRule="auto"/>
              <w:jc w:val="center"/>
              <w:rPr>
                <w:rFonts w:ascii="宋体" w:hAnsi="宋体"/>
                <w:color w:val="000000"/>
                <w:sz w:val="24"/>
              </w:rPr>
            </w:pPr>
          </w:p>
        </w:tc>
        <w:tc>
          <w:tcPr>
            <w:tcW w:w="984"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889" w:type="dxa"/>
            <w:vAlign w:val="center"/>
          </w:tcPr>
          <w:p>
            <w:pPr>
              <w:snapToGrid w:val="0"/>
              <w:spacing w:line="420" w:lineRule="exact"/>
              <w:jc w:val="center"/>
              <w:rPr>
                <w:rFonts w:ascii="Tahoma" w:hAnsi="Tahoma" w:cs="Tahoma"/>
                <w:color w:val="333333"/>
                <w:szCs w:val="21"/>
                <w:shd w:val="clear" w:color="auto" w:fill="FFFFFF"/>
              </w:rPr>
            </w:pPr>
          </w:p>
        </w:tc>
        <w:tc>
          <w:tcPr>
            <w:tcW w:w="4252" w:type="dxa"/>
            <w:vAlign w:val="center"/>
          </w:tcPr>
          <w:p>
            <w:pPr>
              <w:jc w:val="left"/>
              <w:rPr>
                <w:rFonts w:ascii="Tahoma" w:hAnsi="Tahoma" w:cs="Tahoma"/>
                <w:color w:val="333333"/>
                <w:szCs w:val="21"/>
                <w:shd w:val="clear" w:color="auto" w:fill="FFFFFF"/>
              </w:rPr>
            </w:pPr>
          </w:p>
        </w:tc>
        <w:tc>
          <w:tcPr>
            <w:tcW w:w="1418" w:type="dxa"/>
            <w:vAlign w:val="center"/>
          </w:tcPr>
          <w:p>
            <w:pPr>
              <w:spacing w:line="360" w:lineRule="auto"/>
              <w:jc w:val="center"/>
              <w:rPr>
                <w:rFonts w:ascii="宋体" w:hAnsi="宋体"/>
                <w:color w:val="000000"/>
                <w:sz w:val="24"/>
              </w:rPr>
            </w:pPr>
          </w:p>
        </w:tc>
        <w:tc>
          <w:tcPr>
            <w:tcW w:w="984"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889" w:type="dxa"/>
            <w:vAlign w:val="center"/>
          </w:tcPr>
          <w:p>
            <w:pPr>
              <w:snapToGrid w:val="0"/>
              <w:spacing w:line="420" w:lineRule="exact"/>
              <w:jc w:val="center"/>
              <w:rPr>
                <w:rFonts w:ascii="Tahoma" w:hAnsi="Tahoma" w:cs="Tahoma"/>
                <w:color w:val="333333"/>
                <w:szCs w:val="21"/>
                <w:shd w:val="clear" w:color="auto" w:fill="FFFFFF"/>
              </w:rPr>
            </w:pPr>
          </w:p>
        </w:tc>
        <w:tc>
          <w:tcPr>
            <w:tcW w:w="4252" w:type="dxa"/>
            <w:vAlign w:val="center"/>
          </w:tcPr>
          <w:p>
            <w:pPr>
              <w:jc w:val="left"/>
              <w:rPr>
                <w:rFonts w:ascii="Tahoma" w:hAnsi="Tahoma" w:cs="Tahoma"/>
                <w:color w:val="333333"/>
                <w:szCs w:val="21"/>
                <w:shd w:val="clear" w:color="auto" w:fill="FFFFFF"/>
              </w:rPr>
            </w:pPr>
          </w:p>
        </w:tc>
        <w:tc>
          <w:tcPr>
            <w:tcW w:w="1418" w:type="dxa"/>
            <w:vAlign w:val="center"/>
          </w:tcPr>
          <w:p>
            <w:pPr>
              <w:spacing w:line="360" w:lineRule="auto"/>
              <w:jc w:val="center"/>
              <w:rPr>
                <w:rFonts w:ascii="宋体" w:hAnsi="宋体"/>
                <w:color w:val="000000"/>
                <w:sz w:val="24"/>
              </w:rPr>
            </w:pPr>
          </w:p>
        </w:tc>
        <w:tc>
          <w:tcPr>
            <w:tcW w:w="984"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889" w:type="dxa"/>
            <w:vAlign w:val="center"/>
          </w:tcPr>
          <w:p>
            <w:pPr>
              <w:snapToGrid w:val="0"/>
              <w:spacing w:line="420" w:lineRule="exact"/>
              <w:jc w:val="center"/>
              <w:rPr>
                <w:rFonts w:ascii="Tahoma" w:hAnsi="Tahoma" w:cs="Tahoma"/>
                <w:color w:val="333333"/>
                <w:szCs w:val="21"/>
                <w:shd w:val="clear" w:color="auto" w:fill="FFFFFF"/>
              </w:rPr>
            </w:pPr>
          </w:p>
        </w:tc>
        <w:tc>
          <w:tcPr>
            <w:tcW w:w="4252" w:type="dxa"/>
            <w:vAlign w:val="center"/>
          </w:tcPr>
          <w:p>
            <w:pPr>
              <w:jc w:val="left"/>
              <w:rPr>
                <w:rFonts w:ascii="Tahoma" w:hAnsi="Tahoma" w:cs="Tahoma"/>
                <w:color w:val="333333"/>
                <w:szCs w:val="21"/>
                <w:shd w:val="clear" w:color="auto" w:fill="FFFFFF"/>
              </w:rPr>
            </w:pPr>
          </w:p>
        </w:tc>
        <w:tc>
          <w:tcPr>
            <w:tcW w:w="1418" w:type="dxa"/>
            <w:vAlign w:val="center"/>
          </w:tcPr>
          <w:p>
            <w:pPr>
              <w:spacing w:line="360" w:lineRule="auto"/>
              <w:jc w:val="center"/>
              <w:rPr>
                <w:rFonts w:ascii="宋体" w:hAnsi="宋体"/>
                <w:color w:val="000000"/>
                <w:sz w:val="24"/>
              </w:rPr>
            </w:pPr>
          </w:p>
        </w:tc>
        <w:tc>
          <w:tcPr>
            <w:tcW w:w="984"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889" w:type="dxa"/>
            <w:shd w:val="clear" w:color="auto" w:fill="auto"/>
          </w:tcPr>
          <w:p>
            <w:pPr>
              <w:widowControl/>
              <w:spacing w:before="156" w:beforeLines="50" w:after="156" w:afterLines="50"/>
              <w:jc w:val="center"/>
            </w:pPr>
            <w:r>
              <w:rPr>
                <w:rFonts w:hint="eastAsia"/>
              </w:rPr>
              <w:t>合 计（大写）</w:t>
            </w:r>
          </w:p>
        </w:tc>
        <w:tc>
          <w:tcPr>
            <w:tcW w:w="6654" w:type="dxa"/>
            <w:gridSpan w:val="3"/>
            <w:shd w:val="clear" w:color="auto" w:fill="auto"/>
          </w:tcPr>
          <w:p>
            <w:pPr>
              <w:widowControl/>
              <w:jc w:val="left"/>
            </w:pP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widowControl/>
        <w:numPr>
          <w:ilvl w:val="0"/>
          <w:numId w:val="0"/>
        </w:numPr>
        <w:shd w:val="clear" w:color="auto" w:fill="FFFFFF"/>
        <w:tabs>
          <w:tab w:val="left" w:pos="720"/>
        </w:tabs>
        <w:adjustRightInd w:val="0"/>
        <w:spacing w:line="500" w:lineRule="exact"/>
        <w:ind w:left="454" w:leftChars="0" w:right="17" w:rightChars="8"/>
        <w:jc w:val="left"/>
        <w:rPr>
          <w:rFonts w:ascii="宋体" w:hAnsi="宋体"/>
          <w:b/>
          <w:bCs/>
          <w:color w:val="FF0000"/>
          <w:sz w:val="24"/>
        </w:rPr>
      </w:pPr>
      <w:r>
        <w:rPr>
          <w:rFonts w:hint="eastAsia" w:ascii="宋体" w:hAnsi="宋体"/>
          <w:color w:val="000000"/>
          <w:sz w:val="24"/>
        </w:rPr>
        <w:t>（2）</w:t>
      </w:r>
      <w:r>
        <w:rPr>
          <w:rFonts w:hint="eastAsia" w:ascii="宋体" w:hAnsi="宋体"/>
          <w:b/>
          <w:bCs/>
          <w:color w:val="FF0000"/>
          <w:sz w:val="24"/>
        </w:rPr>
        <w:t>以上合同总价包括</w:t>
      </w:r>
      <w:r>
        <w:rPr>
          <w:rFonts w:hint="eastAsia" w:ascii="宋体" w:hAnsi="宋体"/>
          <w:b/>
          <w:bCs/>
          <w:color w:val="FF0000"/>
          <w:sz w:val="24"/>
          <w:lang w:eastAsia="zh-CN"/>
        </w:rPr>
        <w:t>完成本项目数据采集及硬件对接</w:t>
      </w:r>
      <w:r>
        <w:rPr>
          <w:rFonts w:hint="eastAsia" w:ascii="宋体" w:hAnsi="宋体"/>
          <w:b/>
          <w:bCs/>
          <w:color w:val="FF0000"/>
          <w:sz w:val="24"/>
        </w:rPr>
        <w:t>服务</w:t>
      </w:r>
      <w:r>
        <w:rPr>
          <w:rFonts w:hint="eastAsia" w:ascii="宋体" w:hAnsi="宋体"/>
          <w:b/>
          <w:bCs/>
          <w:color w:val="FF0000"/>
          <w:sz w:val="24"/>
          <w:lang w:eastAsia="zh-CN"/>
        </w:rPr>
        <w:t>费及税费等</w:t>
      </w:r>
      <w:r>
        <w:rPr>
          <w:rFonts w:hint="eastAsia" w:ascii="宋体" w:hAnsi="宋体"/>
          <w:b/>
          <w:bCs/>
          <w:color w:val="FF0000"/>
          <w:sz w:val="24"/>
        </w:rPr>
        <w:t>一</w:t>
      </w:r>
    </w:p>
    <w:p>
      <w:pPr>
        <w:widowControl/>
        <w:numPr>
          <w:ilvl w:val="0"/>
          <w:numId w:val="0"/>
        </w:numPr>
        <w:shd w:val="clear" w:color="auto" w:fill="FFFFFF"/>
        <w:tabs>
          <w:tab w:val="left" w:pos="720"/>
        </w:tabs>
        <w:adjustRightInd w:val="0"/>
        <w:spacing w:line="500" w:lineRule="exact"/>
        <w:ind w:right="17" w:rightChars="8"/>
        <w:jc w:val="left"/>
        <w:rPr>
          <w:rFonts w:ascii="宋体" w:hAnsi="宋体"/>
          <w:b/>
          <w:bCs/>
          <w:color w:val="FF0000"/>
          <w:sz w:val="24"/>
        </w:rPr>
      </w:pPr>
      <w:r>
        <w:rPr>
          <w:rFonts w:hint="eastAsia" w:ascii="宋体" w:hAnsi="宋体"/>
          <w:b/>
          <w:bCs/>
          <w:color w:val="FF0000"/>
          <w:sz w:val="24"/>
        </w:rPr>
        <w:t>切费用。</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b/>
          <w:color w:val="000000"/>
          <w:kern w:val="2"/>
        </w:rPr>
      </w:pPr>
      <w:r>
        <w:rPr>
          <w:rFonts w:hint="eastAsia"/>
          <w:b/>
          <w:color w:val="000000"/>
          <w:kern w:val="2"/>
        </w:rPr>
        <w:t>二、产品条款</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Autospacing="0" w:afterAutospacing="0" w:line="360" w:lineRule="auto"/>
        <w:ind w:firstLine="482" w:firstLineChars="200"/>
        <w:rPr>
          <w:b/>
          <w:color w:val="000000"/>
          <w:kern w:val="2"/>
        </w:rPr>
      </w:pPr>
      <w:r>
        <w:rPr>
          <w:rFonts w:hint="eastAsia"/>
          <w:b/>
          <w:color w:val="000000"/>
          <w:kern w:val="2"/>
        </w:rPr>
        <w:t>三、通知送达条款</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1.甲方通知送达地址：浙江省衢州市柯城区九华北大道78号。</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2.乙方通知送达地址：</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jc w:val="left"/>
        <w:rPr>
          <w:color w:val="000000"/>
          <w:kern w:val="2"/>
        </w:rPr>
      </w:pPr>
      <w:r>
        <w:rPr>
          <w:rFonts w:hint="eastAsia" w:ascii="宋体" w:hAnsi="宋体"/>
          <w:color w:val="000000"/>
          <w:sz w:val="24"/>
        </w:rPr>
        <w:t>3.甲方或乙方按照上述方式向对方发送函件或通知，不论对方是否签收或接收，书函自</w:t>
      </w:r>
      <w:r>
        <w:rPr>
          <w:rFonts w:hint="eastAsia"/>
          <w:color w:val="000000"/>
          <w:sz w:val="24"/>
        </w:rPr>
        <w:t>发送之日起三日、信息发送后即视为送达；双方确认，本送达方式亦为双方发生纠纷时法院的送达方式。</w:t>
      </w:r>
    </w:p>
    <w:p>
      <w:pPr>
        <w:pStyle w:val="12"/>
        <w:spacing w:beforeAutospacing="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w:t>
      </w:r>
      <w:r>
        <w:rPr>
          <w:rFonts w:hint="eastAsia" w:hAnsi="宋体"/>
          <w:color w:val="000000"/>
          <w:sz w:val="24"/>
          <w:szCs w:val="24"/>
        </w:rPr>
        <w:t>样本</w:t>
      </w:r>
      <w:r>
        <w:rPr>
          <w:rFonts w:hAnsi="宋体"/>
          <w:color w:val="000000"/>
          <w:sz w:val="24"/>
          <w:szCs w:val="24"/>
        </w:rPr>
        <w:t>必须</w:t>
      </w:r>
      <w:r>
        <w:rPr>
          <w:rFonts w:hint="eastAsia" w:hAnsi="宋体"/>
          <w:color w:val="000000"/>
          <w:sz w:val="24"/>
          <w:szCs w:val="24"/>
        </w:rPr>
        <w:t>符合</w:t>
      </w:r>
      <w:r>
        <w:rPr>
          <w:rFonts w:hAnsi="宋体"/>
          <w:color w:val="000000"/>
          <w:sz w:val="24"/>
          <w:szCs w:val="24"/>
        </w:rPr>
        <w:t>甲方的样本标准和要求。</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w:t>
      </w:r>
      <w:r>
        <w:rPr>
          <w:rFonts w:hint="eastAsia" w:hAnsi="宋体"/>
          <w:color w:val="000000"/>
          <w:sz w:val="24"/>
          <w:szCs w:val="24"/>
        </w:rPr>
        <w:t>技术</w:t>
      </w:r>
      <w:r>
        <w:rPr>
          <w:rFonts w:hAnsi="宋体"/>
          <w:color w:val="000000"/>
          <w:sz w:val="24"/>
          <w:szCs w:val="24"/>
        </w:rPr>
        <w:t>支持必须完全符合甲方的数据接口对接要求。</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w:t>
      </w:r>
      <w:r>
        <w:rPr>
          <w:rFonts w:hint="eastAsia" w:hAnsi="宋体"/>
          <w:color w:val="000000"/>
          <w:sz w:val="24"/>
          <w:szCs w:val="24"/>
        </w:rPr>
        <w:t>的</w:t>
      </w:r>
      <w:r>
        <w:rPr>
          <w:rFonts w:hAnsi="宋体"/>
          <w:color w:val="000000"/>
          <w:sz w:val="24"/>
          <w:szCs w:val="24"/>
        </w:rPr>
        <w:t>服务质量保证期为</w:t>
      </w:r>
      <w:r>
        <w:rPr>
          <w:rFonts w:hint="eastAsia" w:hAnsi="宋体"/>
          <w:color w:val="000000"/>
          <w:sz w:val="24"/>
          <w:szCs w:val="24"/>
        </w:rPr>
        <w:t>交付</w:t>
      </w:r>
      <w:r>
        <w:rPr>
          <w:rFonts w:hAnsi="宋体"/>
          <w:color w:val="000000"/>
          <w:sz w:val="24"/>
          <w:szCs w:val="24"/>
        </w:rPr>
        <w:t>验收合格之后</w:t>
      </w:r>
      <w:r>
        <w:rPr>
          <w:rFonts w:hint="eastAsia" w:hAnsi="宋体"/>
          <w:color w:val="000000"/>
          <w:sz w:val="24"/>
          <w:szCs w:val="24"/>
        </w:rPr>
        <w:t>12</w:t>
      </w:r>
      <w:r>
        <w:rPr>
          <w:rFonts w:hAnsi="宋体"/>
          <w:color w:val="000000"/>
          <w:sz w:val="24"/>
          <w:szCs w:val="24"/>
        </w:rPr>
        <w:t>个月。如因甲方原因导致不能及</w:t>
      </w:r>
      <w:r>
        <w:rPr>
          <w:rFonts w:hint="eastAsia" w:hAnsi="宋体"/>
          <w:color w:val="000000"/>
          <w:sz w:val="24"/>
          <w:szCs w:val="24"/>
        </w:rPr>
        <w:t>交付</w:t>
      </w:r>
      <w:r>
        <w:rPr>
          <w:rFonts w:hAnsi="宋体"/>
          <w:color w:val="000000"/>
          <w:sz w:val="24"/>
          <w:szCs w:val="24"/>
        </w:rPr>
        <w:t>的，服务质保期自</w:t>
      </w:r>
      <w:r>
        <w:rPr>
          <w:rFonts w:hint="eastAsia" w:hAnsi="宋体"/>
          <w:color w:val="000000"/>
          <w:sz w:val="24"/>
          <w:szCs w:val="24"/>
        </w:rPr>
        <w:t>交付</w:t>
      </w:r>
      <w:r>
        <w:rPr>
          <w:rFonts w:hAnsi="宋体"/>
          <w:color w:val="000000"/>
          <w:sz w:val="24"/>
          <w:szCs w:val="24"/>
        </w:rPr>
        <w:t>之日起 1 个月后开始计算。质保期内乙方提供免费</w:t>
      </w:r>
      <w:r>
        <w:rPr>
          <w:rFonts w:hint="eastAsia" w:hAnsi="宋体"/>
          <w:color w:val="000000"/>
          <w:sz w:val="24"/>
          <w:szCs w:val="24"/>
        </w:rPr>
        <w:t>培训</w:t>
      </w:r>
      <w:r>
        <w:rPr>
          <w:rFonts w:hAnsi="宋体"/>
          <w:color w:val="000000"/>
          <w:sz w:val="24"/>
          <w:szCs w:val="24"/>
        </w:rPr>
        <w:t>、技术支持和售后服务。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w:t>
      </w:r>
      <w:r>
        <w:rPr>
          <w:rFonts w:hint="eastAsia" w:hAnsi="宋体"/>
          <w:color w:val="000000"/>
          <w:sz w:val="24"/>
          <w:szCs w:val="24"/>
        </w:rPr>
        <w:t>样本</w:t>
      </w:r>
      <w:r>
        <w:rPr>
          <w:rFonts w:hAnsi="宋体"/>
          <w:color w:val="000000"/>
          <w:sz w:val="24"/>
          <w:szCs w:val="24"/>
        </w:rPr>
        <w:t>、软件及服务应完全符合合同规定的运行性能和安全要求，同时保护甲方在使用该系统或其任何一部分时不受第三方提出侵犯专利权、商标权或工业设备知识产权等的指控，如果第三方提出侵权指控，乙方须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Autospacing="0" w:afterAutospacing="0" w:line="360" w:lineRule="auto"/>
        <w:ind w:firstLine="482" w:firstLineChars="200"/>
        <w:rPr>
          <w:b/>
          <w:color w:val="000000"/>
          <w:kern w:val="2"/>
        </w:rPr>
      </w:pPr>
      <w:r>
        <w:rPr>
          <w:rFonts w:hint="eastAsia"/>
          <w:b/>
          <w:color w:val="000000"/>
          <w:kern w:val="2"/>
        </w:rPr>
        <w:t>五、验收</w:t>
      </w:r>
    </w:p>
    <w:p>
      <w:pPr>
        <w:pStyle w:val="7"/>
        <w:snapToGrid w:val="0"/>
        <w:spacing w:line="360" w:lineRule="auto"/>
        <w:ind w:firstLine="480" w:firstLineChars="200"/>
        <w:rPr>
          <w:rFonts w:hAnsi="宋体"/>
          <w:color w:val="000000"/>
          <w:sz w:val="24"/>
          <w:szCs w:val="24"/>
        </w:rPr>
      </w:pPr>
      <w:r>
        <w:rPr>
          <w:rFonts w:hint="eastAsia" w:hAnsi="宋体"/>
          <w:sz w:val="24"/>
        </w:rPr>
        <w:t>乙方完成相关阶段工作并向甲方提出验收申请，甲方应在7个工作日内组织项目验收。如甲方在乙方正式提出验收申请之后7个工作日内不进行验收，又没有提出其它充分理由，则视为甲、乙双方均同意验收。</w:t>
      </w:r>
    </w:p>
    <w:p>
      <w:pPr>
        <w:pStyle w:val="12"/>
        <w:spacing w:beforeAutospacing="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line="360" w:lineRule="auto"/>
        <w:ind w:left="0" w:leftChars="0" w:firstLine="480" w:firstLineChars="200"/>
        <w:rPr>
          <w:rFonts w:ascii="宋体" w:hAnsi="宋体"/>
          <w:color w:val="000000"/>
          <w:sz w:val="24"/>
        </w:rPr>
      </w:pPr>
      <w:r>
        <w:rPr>
          <w:rFonts w:hint="eastAsia" w:ascii="宋体" w:hAnsi="宋体"/>
          <w:color w:val="000000"/>
          <w:sz w:val="24"/>
        </w:rPr>
        <w:t>合同签订后</w:t>
      </w:r>
      <w:r>
        <w:rPr>
          <w:rFonts w:hint="eastAsia" w:ascii="宋体" w:hAnsi="宋体"/>
          <w:sz w:val="24"/>
          <w:u w:val="single"/>
        </w:rPr>
        <w:t xml:space="preserve">90 </w:t>
      </w:r>
      <w:r>
        <w:rPr>
          <w:rFonts w:hint="eastAsia" w:ascii="宋体" w:hAnsi="宋体"/>
          <w:sz w:val="24"/>
        </w:rPr>
        <w:t>个工作日内完成。期间每完成一项采集和测试即交付甲方使用和核验。时间从合同签订第二个工作日开始计算。</w:t>
      </w:r>
    </w:p>
    <w:p>
      <w:pPr>
        <w:pStyle w:val="6"/>
        <w:tabs>
          <w:tab w:val="left" w:pos="297"/>
        </w:tabs>
        <w:spacing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hAnsi="宋体"/>
          <w:color w:val="000000"/>
          <w:sz w:val="24"/>
        </w:rPr>
      </w:pPr>
      <w:r>
        <w:rPr>
          <w:rFonts w:hint="eastAsia" w:ascii="宋体" w:hAnsi="宋体"/>
          <w:color w:val="000000"/>
          <w:sz w:val="24"/>
        </w:rPr>
        <w:t>1.缴纳履约保证金后，分三次付款。在合同签订、人员进场工作7个工作日内支付合同总金额的60%，样本采集和其他开发功能交付试用后7个工作日内支付合同总金额的30%，在项目完成并验收合格后7个工作日内支付合同余款。自验收合格之日起计3个月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2.由乙方开具正规的增值税普通发票。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Autospacing="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8"/>
        <w:snapToGrid w:val="0"/>
        <w:spacing w:line="360" w:lineRule="auto"/>
        <w:ind w:firstLine="480" w:firstLineChars="200"/>
        <w:rPr>
          <w:rFonts w:hAnsi="宋体"/>
          <w:color w:val="000000"/>
          <w:szCs w:val="22"/>
        </w:rPr>
      </w:pPr>
      <w:r>
        <w:rPr>
          <w:rFonts w:hAnsi="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Autospacing="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pStyle w:val="18"/>
        <w:snapToGrid w:val="0"/>
        <w:spacing w:line="360" w:lineRule="auto"/>
        <w:ind w:firstLine="480" w:firstLineChars="200"/>
        <w:jc w:val="both"/>
        <w:rPr>
          <w:rFonts w:hAnsi="宋体"/>
          <w:color w:val="000000" w:themeColor="text1"/>
          <w:sz w:val="24"/>
          <w:szCs w:val="22"/>
          <w14:textFill>
            <w14:solidFill>
              <w14:schemeClr w14:val="tx1"/>
            </w14:solidFill>
          </w14:textFill>
        </w:rPr>
      </w:pPr>
    </w:p>
    <w:p>
      <w:pPr>
        <w:spacing w:line="360" w:lineRule="auto"/>
        <w:rPr>
          <w:rFonts w:asci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　　甲方单位名称（公章）：　　</w:t>
      </w:r>
      <w:r>
        <w:rPr>
          <w:rFonts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pStyle w:val="11"/>
        <w:ind w:left="499" w:leftChars="0" w:hanging="499" w:hangingChars="208"/>
      </w:pPr>
    </w:p>
    <w:p>
      <w:pPr>
        <w:spacing w:line="360" w:lineRule="auto"/>
        <w:ind w:firstLine="480" w:firstLineChars="200"/>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p>
    <w:p>
      <w:pPr>
        <w:spacing w:line="360" w:lineRule="auto"/>
        <w:ind w:firstLine="480" w:firstLineChars="200"/>
        <w:jc w:val="right"/>
        <w:rPr>
          <w:rFonts w:ascii="宋体" w:hAnsi="宋体"/>
          <w:color w:val="000000"/>
          <w:sz w:val="24"/>
        </w:rPr>
      </w:pP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rFonts w:ascii="宋体" w:hAnsi="宋体" w:cs="宋体"/>
          <w:b/>
          <w:sz w:val="28"/>
          <w:szCs w:val="28"/>
        </w:rPr>
      </w:pPr>
      <w:r>
        <w:rPr>
          <w:rFonts w:ascii="宋体" w:hAnsi="宋体" w:cs="宋体"/>
          <w:b/>
          <w:sz w:val="32"/>
          <w:szCs w:val="32"/>
        </w:rPr>
        <w:br w:type="page"/>
      </w:r>
      <w:r>
        <w:rPr>
          <w:rFonts w:hint="eastAsia" w:ascii="宋体" w:hAnsi="宋体" w:cs="宋体"/>
          <w:b/>
          <w:sz w:val="32"/>
          <w:szCs w:val="32"/>
        </w:rPr>
        <w:t>第六章 应提交的有关材料格式范例</w:t>
      </w:r>
    </w:p>
    <w:p>
      <w:pPr>
        <w:spacing w:line="360" w:lineRule="auto"/>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rPr>
          <w:rFonts w:ascii="宋体" w:hAnsi="宋体" w:cs="宋体"/>
          <w:b/>
          <w:bCs/>
          <w:spacing w:val="20"/>
          <w:sz w:val="32"/>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响应文件外包装封面格式</w:t>
      </w:r>
    </w:p>
    <w:p>
      <w:pPr>
        <w:autoSpaceDE w:val="0"/>
        <w:autoSpaceDN w:val="0"/>
        <w:adjustRightInd w:val="0"/>
        <w:spacing w:line="440" w:lineRule="exact"/>
        <w:jc w:val="center"/>
        <w:rPr>
          <w:rFonts w:ascii="宋体" w:hAnsi="宋体" w:cs="宋体"/>
          <w:b/>
          <w:bCs/>
          <w:spacing w:val="20"/>
          <w:sz w:val="36"/>
          <w:szCs w:val="36"/>
        </w:rPr>
      </w:pPr>
    </w:p>
    <w:p>
      <w:pPr>
        <w:snapToGrid w:val="0"/>
        <w:spacing w:line="1100" w:lineRule="exact"/>
        <w:rPr>
          <w:rFonts w:ascii="宋体" w:hAnsi="宋体" w:cs="宋体"/>
          <w:spacing w:val="20"/>
          <w:sz w:val="32"/>
          <w:szCs w:val="32"/>
        </w:rPr>
      </w:pPr>
      <w:r>
        <w:rPr>
          <w:rFonts w:hint="eastAsia" w:ascii="宋体" w:hAnsi="宋体" w:cs="宋体"/>
          <w:spacing w:val="20"/>
          <w:sz w:val="32"/>
          <w:szCs w:val="32"/>
        </w:rPr>
        <w:t>项目编号：</w:t>
      </w:r>
      <w:r>
        <w:rPr>
          <w:rFonts w:hint="eastAsia" w:ascii="宋体" w:hAnsi="宋体" w:cs="宋体"/>
          <w:b/>
          <w:spacing w:val="20"/>
          <w:sz w:val="32"/>
          <w:szCs w:val="32"/>
        </w:rPr>
        <w:t>衢院招2021-47</w:t>
      </w:r>
    </w:p>
    <w:p>
      <w:pPr>
        <w:spacing w:line="480" w:lineRule="exact"/>
        <w:rPr>
          <w:rFonts w:hint="eastAsia" w:ascii="宋体" w:hAnsi="宋体" w:cs="宋体"/>
          <w:spacing w:val="20"/>
          <w:sz w:val="32"/>
          <w:szCs w:val="32"/>
        </w:rPr>
      </w:pPr>
    </w:p>
    <w:p>
      <w:pPr>
        <w:spacing w:line="480" w:lineRule="exact"/>
        <w:rPr>
          <w:rFonts w:ascii="宋体" w:hAnsi="宋体" w:cs="宋体"/>
          <w:bCs/>
          <w:color w:val="000000"/>
          <w:sz w:val="28"/>
          <w:szCs w:val="28"/>
        </w:rPr>
      </w:pPr>
      <w:r>
        <w:rPr>
          <w:rFonts w:hint="eastAsia" w:ascii="宋体" w:hAnsi="宋体" w:cs="宋体"/>
          <w:spacing w:val="20"/>
          <w:sz w:val="32"/>
          <w:szCs w:val="32"/>
        </w:rPr>
        <w:t>项目名称：</w:t>
      </w:r>
      <w:r>
        <w:rPr>
          <w:rFonts w:hint="eastAsia" w:ascii="宋体" w:hAnsi="宋体" w:cs="宋体"/>
          <w:b/>
          <w:bCs/>
          <w:color w:val="000000"/>
          <w:sz w:val="32"/>
          <w:szCs w:val="32"/>
          <w:lang w:val="zh-CN"/>
        </w:rPr>
        <w:t>毛竹重大病虫害样本数据采集及硬件对接服务</w:t>
      </w:r>
    </w:p>
    <w:p>
      <w:pPr>
        <w:snapToGrid w:val="0"/>
        <w:spacing w:line="1100" w:lineRule="exact"/>
        <w:ind w:left="1800" w:hanging="1800" w:hangingChars="500"/>
        <w:rPr>
          <w:rFonts w:ascii="宋体" w:hAnsi="宋体" w:cs="宋体"/>
          <w:sz w:val="32"/>
          <w:szCs w:val="32"/>
        </w:rPr>
      </w:pPr>
      <w:r>
        <w:rPr>
          <w:rFonts w:hint="eastAsia" w:ascii="宋体" w:hAnsi="宋体" w:cs="宋体"/>
          <w:spacing w:val="20"/>
          <w:sz w:val="32"/>
          <w:szCs w:val="32"/>
        </w:rPr>
        <w:t>投标文件名称</w:t>
      </w:r>
      <w:r>
        <w:rPr>
          <w:rFonts w:hint="eastAsia" w:ascii="宋体" w:hAnsi="宋体" w:cs="宋体"/>
          <w:color w:val="000000"/>
          <w:sz w:val="32"/>
          <w:szCs w:val="32"/>
        </w:rPr>
        <w:t>（资格与报价文件、商务技术文件）</w:t>
      </w:r>
    </w:p>
    <w:p>
      <w:pPr>
        <w:snapToGrid w:val="0"/>
        <w:spacing w:line="1100" w:lineRule="exact"/>
        <w:rPr>
          <w:rFonts w:ascii="宋体" w:hAnsi="宋体" w:cs="宋体"/>
          <w:spacing w:val="20"/>
          <w:sz w:val="32"/>
          <w:szCs w:val="32"/>
        </w:rPr>
      </w:pPr>
      <w:r>
        <w:rPr>
          <w:rFonts w:hint="eastAsia" w:ascii="宋体" w:hAnsi="宋体" w:cs="宋体"/>
          <w:spacing w:val="20"/>
          <w:sz w:val="32"/>
          <w:szCs w:val="32"/>
        </w:rPr>
        <w:t>投标人名称（盖单位公章）：</w:t>
      </w:r>
    </w:p>
    <w:p>
      <w:pPr>
        <w:snapToGrid w:val="0"/>
        <w:spacing w:line="1100" w:lineRule="exact"/>
        <w:rPr>
          <w:rFonts w:ascii="宋体" w:hAnsi="宋体" w:cs="宋体"/>
          <w:spacing w:val="20"/>
          <w:sz w:val="32"/>
          <w:szCs w:val="32"/>
        </w:rPr>
      </w:pPr>
      <w:r>
        <w:rPr>
          <w:rFonts w:hint="eastAsia" w:ascii="宋体" w:hAnsi="宋体" w:cs="宋体"/>
          <w:spacing w:val="20"/>
          <w:sz w:val="32"/>
          <w:szCs w:val="32"/>
        </w:rPr>
        <w:t>投标人地址：</w:t>
      </w:r>
    </w:p>
    <w:p>
      <w:pPr>
        <w:snapToGrid w:val="0"/>
        <w:spacing w:line="1100" w:lineRule="exact"/>
        <w:rPr>
          <w:rFonts w:ascii="宋体" w:hAnsi="宋体" w:cs="宋体"/>
          <w:b/>
          <w:bCs/>
          <w:sz w:val="32"/>
          <w:szCs w:val="32"/>
        </w:rPr>
      </w:pPr>
      <w:r>
        <w:rPr>
          <w:rFonts w:hint="eastAsia" w:ascii="宋体" w:hAnsi="宋体" w:cs="宋体"/>
          <w:spacing w:val="20"/>
          <w:sz w:val="32"/>
          <w:szCs w:val="32"/>
        </w:rPr>
        <w:t>法定代表人或全权代表（签字或盖章）：</w:t>
      </w:r>
    </w:p>
    <w:p>
      <w:pPr>
        <w:rPr>
          <w:rFonts w:ascii="宋体" w:hAnsi="宋体" w:cs="宋体"/>
          <w:bCs/>
        </w:rPr>
      </w:pPr>
    </w:p>
    <w:p>
      <w:pPr>
        <w:pStyle w:val="7"/>
        <w:snapToGrid w:val="0"/>
        <w:spacing w:line="400" w:lineRule="exact"/>
        <w:rPr>
          <w:rFonts w:hAnsi="宋体" w:cs="宋体"/>
          <w:b/>
          <w:sz w:val="24"/>
        </w:rPr>
      </w:pPr>
    </w:p>
    <w:p>
      <w:pPr>
        <w:pStyle w:val="7"/>
        <w:snapToGrid w:val="0"/>
        <w:spacing w:line="400" w:lineRule="exact"/>
        <w:rPr>
          <w:rFonts w:hAnsi="宋体" w:cs="宋体"/>
          <w:b/>
          <w:sz w:val="24"/>
        </w:rPr>
      </w:pPr>
      <w:r>
        <w:rPr>
          <w:rFonts w:hint="eastAsia" w:hAnsi="宋体"/>
          <w:b/>
          <w:sz w:val="24"/>
        </w:rPr>
        <w:t>封口格式</w:t>
      </w: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
          <w:color w:val="000000"/>
          <w:sz w:val="28"/>
          <w:szCs w:val="28"/>
        </w:rPr>
      </w:pPr>
      <w:r>
        <w:rPr>
          <w:rFonts w:hint="eastAsia" w:ascii="宋体" w:hAnsi="宋体" w:cs="宋体"/>
          <w:bCs/>
        </w:rPr>
        <mc:AlternateContent>
          <mc:Choice Requires="wpg">
            <w:drawing>
              <wp:inline distT="0" distB="0" distL="114300" distR="114300">
                <wp:extent cx="5257800" cy="1287780"/>
                <wp:effectExtent l="5080" t="4445" r="13970" b="0"/>
                <wp:docPr id="8" name="组合 8"/>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5"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9"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rPr>
                                <w:t xml:space="preserve">  </w:t>
                              </w: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uSaPLtQAAAAFAQAADwAAAAAAAAABACAAAAAiAAAAZHJzL2Rv&#10;d25yZXYueG1sUEsBAhQAFAAAAAgAh07iQOWUm0XpAgAAPAgAAA4AAAAAAAAAAQAgAAAAIwEAAGRy&#10;cy9lMm9Eb2MueG1sUEsFBgAAAAAGAAYAWQEAAH4GAAAAAA==&#10;">
                <o:lock v:ext="edit" rotation="t" aspectratio="f"/>
                <v:rect id="Picture 3" o:spid="_x0000_s1026" o:spt="1" style="position:absolute;left:0;top:0;height:1766;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mc:Fallback>
        </mc:AlternateContent>
      </w:r>
    </w:p>
    <w:p>
      <w:pPr>
        <w:pStyle w:val="7"/>
        <w:snapToGrid w:val="0"/>
        <w:spacing w:line="400" w:lineRule="exact"/>
        <w:rPr>
          <w:rFonts w:hint="eastAsia" w:hAnsi="宋体" w:cs="宋体"/>
          <w:b/>
          <w:sz w:val="24"/>
        </w:rPr>
      </w:pPr>
    </w:p>
    <w:p>
      <w:pPr>
        <w:pStyle w:val="7"/>
        <w:snapToGrid w:val="0"/>
        <w:spacing w:line="400" w:lineRule="exact"/>
        <w:rPr>
          <w:rFonts w:hint="eastAsia" w:hAnsi="宋体" w:cs="宋体"/>
          <w:b/>
          <w:sz w:val="24"/>
        </w:rPr>
      </w:pPr>
    </w:p>
    <w:p>
      <w:pPr>
        <w:pStyle w:val="7"/>
        <w:snapToGrid w:val="0"/>
        <w:spacing w:line="400" w:lineRule="exact"/>
        <w:rPr>
          <w:rFonts w:hint="eastAsia" w:hAnsi="宋体" w:cs="宋体"/>
          <w:b/>
          <w:sz w:val="24"/>
        </w:rPr>
      </w:pPr>
    </w:p>
    <w:p>
      <w:pPr>
        <w:spacing w:line="480" w:lineRule="exact"/>
        <w:rPr>
          <w:rFonts w:ascii="宋体" w:hAnsi="宋体" w:cs="宋体"/>
          <w:bCs/>
        </w:rPr>
      </w:pPr>
      <w:r>
        <w:rPr>
          <w:rFonts w:hint="eastAsia" w:ascii="宋体" w:hAnsi="宋体" w:cs="宋体"/>
          <w:b/>
          <w:color w:val="000000"/>
          <w:sz w:val="28"/>
          <w:szCs w:val="28"/>
        </w:rPr>
        <w:t>格式二：</w:t>
      </w: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响应文件封面格式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28"/>
          <w:szCs w:val="28"/>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衢院招2021-47</w:t>
      </w:r>
    </w:p>
    <w:p>
      <w:pPr>
        <w:spacing w:line="480" w:lineRule="exact"/>
        <w:rPr>
          <w:rFonts w:hint="eastAsia" w:ascii="宋体" w:hAnsi="宋体" w:cs="宋体"/>
          <w:color w:val="000000"/>
          <w:spacing w:val="20"/>
          <w:sz w:val="32"/>
          <w:szCs w:val="32"/>
        </w:rPr>
      </w:pPr>
    </w:p>
    <w:p>
      <w:pPr>
        <w:spacing w:line="480" w:lineRule="exact"/>
        <w:rPr>
          <w:rFonts w:ascii="宋体" w:hAnsi="宋体" w:cs="宋体"/>
          <w:bCs/>
          <w:color w:val="000000"/>
          <w:sz w:val="28"/>
          <w:szCs w:val="28"/>
        </w:rPr>
      </w:pPr>
      <w:r>
        <w:rPr>
          <w:rFonts w:hint="eastAsia" w:ascii="宋体" w:hAnsi="宋体" w:cs="宋体"/>
          <w:color w:val="000000"/>
          <w:spacing w:val="20"/>
          <w:sz w:val="32"/>
          <w:szCs w:val="32"/>
        </w:rPr>
        <w:t>项目名称：</w:t>
      </w:r>
      <w:r>
        <w:rPr>
          <w:rFonts w:hint="eastAsia" w:ascii="宋体" w:hAnsi="宋体" w:cs="宋体"/>
          <w:b/>
          <w:bCs/>
          <w:color w:val="000000"/>
          <w:sz w:val="32"/>
          <w:szCs w:val="32"/>
          <w:lang w:val="zh-CN"/>
        </w:rPr>
        <w:t>毛竹重大病虫害样本数据采集及硬件对接服务</w:t>
      </w:r>
    </w:p>
    <w:p>
      <w:pPr>
        <w:snapToGrid w:val="0"/>
        <w:spacing w:line="1100" w:lineRule="exact"/>
        <w:ind w:left="1800" w:hanging="1800" w:hangingChars="500"/>
        <w:rPr>
          <w:rFonts w:ascii="宋体" w:hAnsi="宋体" w:cs="宋体"/>
          <w:color w:val="000000"/>
          <w:sz w:val="32"/>
          <w:szCs w:val="32"/>
        </w:rPr>
      </w:pPr>
      <w:r>
        <w:rPr>
          <w:rFonts w:hint="eastAsia" w:ascii="宋体" w:hAnsi="宋体" w:cs="宋体"/>
          <w:color w:val="000000"/>
          <w:spacing w:val="20"/>
          <w:sz w:val="32"/>
          <w:szCs w:val="32"/>
        </w:rPr>
        <w:t>响应文件名称：</w:t>
      </w:r>
      <w:r>
        <w:rPr>
          <w:rFonts w:hint="eastAsia" w:ascii="宋体" w:hAnsi="宋体" w:cs="宋体"/>
          <w:color w:val="000000"/>
          <w:sz w:val="32"/>
          <w:szCs w:val="32"/>
        </w:rPr>
        <w:t>（资格与报价文件、商务技术文件）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响应人名称（盖单位公章）：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响应人地址：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法定代表人或全权代表（签字或盖章）：</w:t>
      </w:r>
    </w:p>
    <w:p>
      <w:pPr>
        <w:rPr>
          <w:rFonts w:ascii="宋体" w:hAnsi="宋体" w:cs="宋体"/>
          <w:bCs/>
          <w:color w:val="000000"/>
        </w:rPr>
      </w:pPr>
    </w:p>
    <w:p>
      <w:pPr>
        <w:rPr>
          <w:rFonts w:ascii="宋体" w:hAnsi="宋体" w:cs="宋体"/>
          <w:bCs/>
          <w:color w:val="000000"/>
        </w:rPr>
      </w:pPr>
    </w:p>
    <w:p>
      <w:pPr>
        <w:spacing w:line="460" w:lineRule="exact"/>
        <w:outlineLvl w:val="1"/>
        <w:rPr>
          <w:rFonts w:ascii="宋体" w:hAnsi="宋体" w:cs="宋体"/>
          <w:b/>
          <w:color w:val="000000"/>
          <w:sz w:val="28"/>
          <w:szCs w:val="28"/>
        </w:rPr>
      </w:pPr>
      <w:r>
        <w:rPr>
          <w:rFonts w:hint="eastAsia" w:ascii="宋体" w:hAnsi="宋体" w:cs="宋体"/>
          <w:b/>
          <w:color w:val="000000"/>
          <w:sz w:val="24"/>
        </w:rPr>
        <w:br w:type="page"/>
      </w:r>
      <w:r>
        <w:rPr>
          <w:rFonts w:hint="eastAsia" w:ascii="宋体" w:hAnsi="宋体" w:cs="宋体"/>
          <w:b/>
          <w:color w:val="000000"/>
          <w:sz w:val="28"/>
          <w:szCs w:val="28"/>
        </w:rPr>
        <w:t>格式三：</w:t>
      </w:r>
    </w:p>
    <w:p>
      <w:pPr>
        <w:autoSpaceDE w:val="0"/>
        <w:autoSpaceDN w:val="0"/>
        <w:adjustRightInd w:val="0"/>
        <w:spacing w:line="460" w:lineRule="exact"/>
        <w:jc w:val="center"/>
        <w:rPr>
          <w:rFonts w:ascii="宋体" w:hAnsi="宋体" w:cs="宋体"/>
          <w:b/>
          <w:bCs/>
          <w:color w:val="000000"/>
          <w:sz w:val="36"/>
          <w:szCs w:val="36"/>
          <w:lang w:val="zh-CN"/>
        </w:rPr>
      </w:pPr>
      <w:r>
        <w:rPr>
          <w:rFonts w:hint="eastAsia" w:ascii="宋体" w:hAnsi="宋体" w:cs="宋体"/>
          <w:b/>
          <w:bCs/>
          <w:color w:val="000000"/>
          <w:sz w:val="36"/>
          <w:szCs w:val="36"/>
          <w:lang w:val="zh-CN"/>
        </w:rPr>
        <w:t>磋商响应函</w:t>
      </w:r>
    </w:p>
    <w:p>
      <w:pPr>
        <w:autoSpaceDE w:val="0"/>
        <w:autoSpaceDN w:val="0"/>
        <w:adjustRightInd w:val="0"/>
        <w:spacing w:line="500" w:lineRule="exact"/>
        <w:jc w:val="left"/>
        <w:rPr>
          <w:rFonts w:ascii="宋体" w:hAnsi="宋体" w:cs="宋体"/>
          <w:color w:val="000000"/>
          <w:sz w:val="28"/>
          <w:szCs w:val="28"/>
        </w:rPr>
      </w:pPr>
      <w:r>
        <w:rPr>
          <w:rFonts w:hint="eastAsia" w:ascii="宋体" w:hAnsi="宋体" w:cs="宋体"/>
          <w:color w:val="000000"/>
          <w:sz w:val="28"/>
          <w:szCs w:val="28"/>
          <w:lang w:val="zh-CN"/>
        </w:rPr>
        <w:t>致：衢州学院</w:t>
      </w:r>
    </w:p>
    <w:p>
      <w:pPr>
        <w:autoSpaceDE w:val="0"/>
        <w:autoSpaceDN w:val="0"/>
        <w:adjustRightInd w:val="0"/>
        <w:spacing w:line="360" w:lineRule="auto"/>
        <w:ind w:firstLine="700" w:firstLineChars="250"/>
        <w:rPr>
          <w:rFonts w:ascii="宋体" w:hAnsi="宋体"/>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p>
    <w:p>
      <w:pPr>
        <w:autoSpaceDE w:val="0"/>
        <w:autoSpaceDN w:val="0"/>
        <w:adjustRightInd w:val="0"/>
        <w:spacing w:line="500" w:lineRule="exact"/>
        <w:rPr>
          <w:rFonts w:ascii="宋体" w:hAnsi="宋体" w:cs="宋体"/>
          <w:b/>
          <w:color w:val="000000"/>
          <w:sz w:val="28"/>
          <w:szCs w:val="28"/>
          <w:u w:val="single"/>
          <w:lang w:val="zh-CN"/>
        </w:rPr>
      </w:pPr>
      <w:r>
        <w:rPr>
          <w:rFonts w:hint="eastAsia" w:ascii="宋体" w:hAnsi="宋体"/>
          <w:color w:val="000000"/>
          <w:sz w:val="28"/>
          <w:szCs w:val="28"/>
          <w:lang w:val="zh-CN"/>
        </w:rPr>
        <w:t>（全名、职务）为全权代表，参加贵方</w:t>
      </w:r>
      <w:r>
        <w:rPr>
          <w:rFonts w:hint="eastAsia" w:ascii="宋体" w:hAnsi="宋体" w:cs="宋体"/>
          <w:color w:val="000000"/>
          <w:sz w:val="28"/>
          <w:szCs w:val="28"/>
          <w:lang w:val="zh-CN"/>
        </w:rPr>
        <w:t>组织</w:t>
      </w:r>
      <w:r>
        <w:rPr>
          <w:rFonts w:hint="eastAsia" w:ascii="宋体" w:hAnsi="宋体" w:cs="宋体"/>
          <w:b/>
          <w:bCs/>
          <w:color w:val="000000"/>
          <w:spacing w:val="11"/>
          <w:sz w:val="28"/>
          <w:szCs w:val="28"/>
          <w:u w:val="single"/>
          <w:lang w:val="zh-CN" w:eastAsia="zh-CN"/>
        </w:rPr>
        <w:t>毛竹重大病虫害样本数据采集及硬件对接服务</w:t>
      </w:r>
      <w:r>
        <w:rPr>
          <w:rFonts w:hint="eastAsia" w:ascii="宋体" w:hAnsi="宋体" w:cs="宋体"/>
          <w:color w:val="000000"/>
          <w:sz w:val="28"/>
          <w:szCs w:val="28"/>
          <w:lang w:val="zh-CN"/>
        </w:rPr>
        <w:t>（项目编号：</w:t>
      </w:r>
      <w:r>
        <w:rPr>
          <w:rFonts w:hint="eastAsia" w:ascii="宋体" w:hAnsi="宋体" w:cs="宋体"/>
          <w:b/>
          <w:bCs/>
          <w:color w:val="000000"/>
          <w:spacing w:val="11"/>
          <w:sz w:val="28"/>
          <w:szCs w:val="28"/>
          <w:lang w:val="zh-CN"/>
        </w:rPr>
        <w:t>衢院招2021-47</w:t>
      </w:r>
      <w:r>
        <w:rPr>
          <w:rFonts w:hint="eastAsia" w:ascii="宋体" w:hAnsi="宋体" w:cs="宋体"/>
          <w:color w:val="000000"/>
          <w:sz w:val="28"/>
          <w:szCs w:val="28"/>
          <w:lang w:val="zh-CN"/>
        </w:rPr>
        <w:t>）竞争性磋商有关活动，并进行响应。为此：</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zh-CN"/>
        </w:rPr>
        <w:t>1.我方已详细审查全部磋商文件，同意磋商文件的各项要求。</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zh-CN"/>
        </w:rPr>
        <w:t>2.我方向贵方提交的所有响应文件、资料都是准确的和真实的。</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en-US" w:eastAsia="zh-CN"/>
        </w:rPr>
        <w:t>3</w:t>
      </w:r>
      <w:r>
        <w:rPr>
          <w:rFonts w:hint="eastAsia" w:ascii="宋体" w:hAnsi="宋体" w:cs="宋体"/>
          <w:color w:val="000000"/>
          <w:sz w:val="28"/>
          <w:szCs w:val="28"/>
          <w:lang w:val="zh-CN"/>
        </w:rPr>
        <w:t>.响应文件有效期为90天。</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en-US" w:eastAsia="zh-CN"/>
        </w:rPr>
        <w:t>4</w:t>
      </w:r>
      <w:r>
        <w:rPr>
          <w:rFonts w:hint="eastAsia" w:ascii="宋体" w:hAnsi="宋体" w:cs="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en-US" w:eastAsia="zh-CN"/>
        </w:rPr>
        <w:t>5</w:t>
      </w:r>
      <w:r>
        <w:rPr>
          <w:rFonts w:hint="eastAsia" w:ascii="宋体" w:hAnsi="宋体" w:cs="宋体"/>
          <w:color w:val="000000"/>
          <w:sz w:val="28"/>
          <w:szCs w:val="28"/>
          <w:lang w:val="zh-CN"/>
        </w:rPr>
        <w:t>.我方参与本项目前3年内的经营活动中没有重大违法记录；</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en-US" w:eastAsia="zh-CN"/>
        </w:rPr>
        <w:t>6</w:t>
      </w:r>
      <w:r>
        <w:rPr>
          <w:rFonts w:hint="eastAsia" w:ascii="宋体" w:hAnsi="宋体" w:cs="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en-US" w:eastAsia="zh-CN"/>
        </w:rPr>
        <w:t>7</w:t>
      </w:r>
      <w:r>
        <w:rPr>
          <w:rFonts w:hint="eastAsia" w:ascii="宋体" w:hAnsi="宋体" w:cs="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zh-CN"/>
        </w:rPr>
        <w:t xml:space="preserve">地址：                           邮编：        </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zh-CN"/>
        </w:rPr>
        <w:t xml:space="preserve">电话：                           传真：               </w:t>
      </w:r>
    </w:p>
    <w:p>
      <w:pPr>
        <w:snapToGrid w:val="0"/>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lang w:val="zh-CN"/>
        </w:rPr>
        <w:t>开户银行：                   银行帐号：</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zh-CN"/>
        </w:rPr>
        <w:t>响应人名称：                         （公章）</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lang w:val="zh-CN"/>
        </w:rPr>
        <w:t>日期：      年   月   日</w:t>
      </w:r>
    </w:p>
    <w:p>
      <w:pPr>
        <w:spacing w:line="500" w:lineRule="exact"/>
        <w:outlineLvl w:val="1"/>
        <w:rPr>
          <w:rFonts w:ascii="宋体" w:hAnsi="宋体" w:cs="宋体"/>
          <w:b/>
          <w:color w:val="000000"/>
          <w:sz w:val="28"/>
          <w:szCs w:val="28"/>
        </w:rPr>
      </w:pPr>
      <w:r>
        <w:rPr>
          <w:rFonts w:hint="eastAsia" w:ascii="宋体" w:hAnsi="宋体" w:cs="宋体"/>
          <w:color w:val="000000"/>
          <w:lang w:val="zh-CN"/>
        </w:rPr>
        <w:br w:type="page"/>
      </w:r>
      <w:r>
        <w:rPr>
          <w:rFonts w:hint="eastAsia" w:ascii="宋体" w:hAnsi="宋体" w:cs="宋体"/>
          <w:b/>
          <w:color w:val="000000"/>
          <w:sz w:val="28"/>
          <w:szCs w:val="28"/>
        </w:rPr>
        <w:t>格式四：</w:t>
      </w:r>
    </w:p>
    <w:p>
      <w:pPr>
        <w:autoSpaceDE w:val="0"/>
        <w:autoSpaceDN w:val="0"/>
        <w:adjustRightInd w:val="0"/>
        <w:spacing w:line="360" w:lineRule="auto"/>
        <w:rPr>
          <w:rFonts w:ascii="宋体" w:hAnsi="宋体" w:cs="宋体"/>
          <w:color w:val="000000"/>
          <w:sz w:val="36"/>
          <w:szCs w:val="36"/>
        </w:rPr>
      </w:pPr>
    </w:p>
    <w:p>
      <w:pPr>
        <w:autoSpaceDE w:val="0"/>
        <w:autoSpaceDN w:val="0"/>
        <w:adjustRightInd w:val="0"/>
        <w:spacing w:line="440" w:lineRule="exact"/>
        <w:jc w:val="center"/>
        <w:rPr>
          <w:rFonts w:ascii="宋体" w:hAnsi="宋体" w:cs="宋体"/>
          <w:b/>
          <w:bCs/>
          <w:color w:val="000000"/>
          <w:sz w:val="36"/>
          <w:szCs w:val="36"/>
          <w:lang w:val="zh-CN"/>
        </w:rPr>
      </w:pPr>
      <w:r>
        <w:rPr>
          <w:rFonts w:hint="eastAsia" w:ascii="宋体" w:hAnsi="宋体" w:cs="宋体"/>
          <w:b/>
          <w:bCs/>
          <w:color w:val="000000"/>
          <w:sz w:val="36"/>
          <w:szCs w:val="36"/>
          <w:lang w:val="zh-CN"/>
        </w:rPr>
        <w:t>法定代表人授权书</w:t>
      </w:r>
    </w:p>
    <w:p>
      <w:pPr>
        <w:autoSpaceDE w:val="0"/>
        <w:autoSpaceDN w:val="0"/>
        <w:adjustRightInd w:val="0"/>
        <w:spacing w:line="360" w:lineRule="auto"/>
        <w:rPr>
          <w:rFonts w:ascii="宋体" w:hAnsi="宋体" w:cs="宋体"/>
          <w:color w:val="000000"/>
          <w:sz w:val="28"/>
          <w:szCs w:val="28"/>
          <w:lang w:val="zh-CN"/>
        </w:rPr>
      </w:pPr>
    </w:p>
    <w:p>
      <w:pPr>
        <w:autoSpaceDE w:val="0"/>
        <w:autoSpaceDN w:val="0"/>
        <w:adjustRightInd w:val="0"/>
        <w:spacing w:line="360" w:lineRule="auto"/>
        <w:rPr>
          <w:rFonts w:ascii="宋体" w:hAnsi="宋体" w:cs="宋体"/>
          <w:color w:val="000000"/>
          <w:sz w:val="28"/>
          <w:szCs w:val="28"/>
        </w:rPr>
      </w:pPr>
      <w:r>
        <w:rPr>
          <w:rFonts w:hint="eastAsia" w:ascii="宋体" w:hAnsi="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color w:val="000000"/>
          <w:sz w:val="28"/>
          <w:szCs w:val="28"/>
          <w:u w:val="single"/>
        </w:rPr>
      </w:pPr>
      <w:r>
        <w:rPr>
          <w:rFonts w:hint="eastAsia" w:ascii="宋体" w:hAnsi="宋体"/>
          <w:color w:val="000000"/>
          <w:sz w:val="28"/>
          <w:szCs w:val="28"/>
          <w:lang w:val="zh-CN"/>
        </w:rPr>
        <w:t>（响应单位全称）</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pPr>
        <w:autoSpaceDE w:val="0"/>
        <w:autoSpaceDN w:val="0"/>
        <w:adjustRightInd w:val="0"/>
        <w:spacing w:line="360" w:lineRule="auto"/>
        <w:jc w:val="left"/>
        <w:rPr>
          <w:rFonts w:ascii="宋体" w:hAnsi="宋体" w:cs="宋体"/>
          <w:color w:val="000000"/>
          <w:sz w:val="28"/>
          <w:szCs w:val="28"/>
          <w:lang w:val="zh-CN"/>
        </w:rPr>
      </w:pPr>
      <w:r>
        <w:rPr>
          <w:rFonts w:hint="eastAsia" w:ascii="宋体" w:hAnsi="宋体"/>
          <w:color w:val="000000"/>
          <w:sz w:val="28"/>
          <w:szCs w:val="28"/>
          <w:lang w:val="zh-CN"/>
        </w:rPr>
        <w:t>授权</w:t>
      </w:r>
      <w:r>
        <w:rPr>
          <w:rFonts w:hint="eastAsia" w:ascii="宋体" w:hAnsi="宋体"/>
          <w:color w:val="000000"/>
          <w:sz w:val="28"/>
          <w:szCs w:val="28"/>
          <w:u w:val="single"/>
        </w:rPr>
        <w:t xml:space="preserve">             </w:t>
      </w:r>
      <w:r>
        <w:rPr>
          <w:rFonts w:hint="eastAsia" w:ascii="宋体" w:hAnsi="宋体"/>
          <w:color w:val="000000"/>
          <w:sz w:val="28"/>
          <w:szCs w:val="28"/>
          <w:lang w:val="zh-CN"/>
        </w:rPr>
        <w:t>（全权代表名称）为全权代表，参加</w:t>
      </w:r>
      <w:r>
        <w:rPr>
          <w:rFonts w:hint="eastAsia" w:ascii="宋体" w:hAnsi="宋体" w:cs="宋体"/>
          <w:b/>
          <w:color w:val="000000"/>
          <w:sz w:val="28"/>
          <w:szCs w:val="28"/>
          <w:u w:val="single"/>
          <w:lang w:val="zh-CN" w:eastAsia="zh-CN"/>
        </w:rPr>
        <w:t>毛竹重大病虫害样本数据采集及硬件对接服务</w:t>
      </w:r>
      <w:r>
        <w:rPr>
          <w:rFonts w:hint="eastAsia" w:ascii="宋体" w:hAnsi="宋体" w:cs="宋体"/>
          <w:color w:val="000000"/>
          <w:sz w:val="28"/>
          <w:szCs w:val="28"/>
          <w:lang w:val="zh-CN"/>
        </w:rPr>
        <w:t>（项目编号：</w:t>
      </w:r>
      <w:r>
        <w:rPr>
          <w:rFonts w:hint="eastAsia" w:ascii="宋体" w:hAnsi="宋体" w:cs="宋体"/>
          <w:b/>
          <w:color w:val="000000"/>
          <w:sz w:val="28"/>
          <w:szCs w:val="28"/>
          <w:u w:val="single"/>
          <w:lang w:val="zh-CN"/>
        </w:rPr>
        <w:t>衢院招2021-47</w:t>
      </w:r>
      <w:r>
        <w:rPr>
          <w:rFonts w:hint="eastAsia" w:ascii="宋体" w:hAnsi="宋体" w:cs="宋体"/>
          <w:color w:val="000000"/>
          <w:sz w:val="28"/>
          <w:szCs w:val="28"/>
          <w:lang w:val="zh-CN"/>
        </w:rPr>
        <w:t>）磋商，其在磋商中的一切活动本公司均予承认。</w:t>
      </w:r>
    </w:p>
    <w:p>
      <w:pPr>
        <w:snapToGrid w:val="0"/>
        <w:spacing w:line="360" w:lineRule="auto"/>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s="宋体"/>
          <w:color w:val="000000"/>
          <w:sz w:val="28"/>
          <w:szCs w:val="28"/>
          <w:lang w:val="zh-CN"/>
        </w:rPr>
      </w:pPr>
      <w:r>
        <w:rPr>
          <w:rFonts w:hint="eastAsia" w:ascii="宋体" w:hAnsi="宋体" w:cs="宋体"/>
          <w:color w:val="000000"/>
          <w:sz w:val="28"/>
          <w:szCs w:val="28"/>
          <w:lang w:val="zh-CN"/>
        </w:rPr>
        <w:t>全权代表无转委托权，特此委托。</w:t>
      </w:r>
    </w:p>
    <w:p>
      <w:pPr>
        <w:autoSpaceDE w:val="0"/>
        <w:autoSpaceDN w:val="0"/>
        <w:adjustRightInd w:val="0"/>
        <w:spacing w:line="360" w:lineRule="auto"/>
        <w:rPr>
          <w:rFonts w:ascii="宋体" w:hAnsi="宋体" w:cs="宋体"/>
          <w:color w:val="000000"/>
          <w:sz w:val="28"/>
          <w:szCs w:val="28"/>
          <w:lang w:val="zh-CN"/>
        </w:rPr>
      </w:pPr>
    </w:p>
    <w:p>
      <w:pPr>
        <w:autoSpaceDE w:val="0"/>
        <w:autoSpaceDN w:val="0"/>
        <w:adjustRightInd w:val="0"/>
        <w:spacing w:line="360" w:lineRule="auto"/>
        <w:ind w:left="150"/>
        <w:jc w:val="center"/>
        <w:rPr>
          <w:rFonts w:ascii="宋体" w:hAnsi="宋体" w:cs="宋体"/>
          <w:color w:val="000000"/>
          <w:sz w:val="28"/>
          <w:szCs w:val="28"/>
        </w:rPr>
      </w:pPr>
      <w:r>
        <w:rPr>
          <w:rFonts w:hint="eastAsia" w:ascii="宋体" w:hAnsi="宋体" w:cs="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s="宋体"/>
          <w:color w:val="000000"/>
          <w:sz w:val="28"/>
          <w:szCs w:val="28"/>
        </w:rPr>
      </w:pPr>
      <w:r>
        <w:rPr>
          <w:rFonts w:hint="eastAsia" w:ascii="宋体" w:hAnsi="宋体" w:cs="宋体"/>
          <w:color w:val="000000"/>
          <w:sz w:val="28"/>
          <w:szCs w:val="28"/>
          <w:lang w:val="zh-CN"/>
        </w:rPr>
        <w:t>单位公章：</w:t>
      </w:r>
    </w:p>
    <w:p>
      <w:pPr>
        <w:autoSpaceDE w:val="0"/>
        <w:autoSpaceDN w:val="0"/>
        <w:adjustRightInd w:val="0"/>
        <w:spacing w:line="360" w:lineRule="auto"/>
        <w:ind w:left="150" w:firstLine="1680"/>
        <w:jc w:val="right"/>
        <w:rPr>
          <w:rFonts w:ascii="宋体" w:hAnsi="宋体" w:cs="宋体"/>
          <w:color w:val="000000"/>
          <w:sz w:val="28"/>
          <w:szCs w:val="28"/>
          <w:lang w:val="zh-CN"/>
        </w:rPr>
      </w:pPr>
      <w:r>
        <w:rPr>
          <w:rFonts w:hint="eastAsia" w:ascii="宋体" w:hAnsi="宋体" w:cs="宋体"/>
          <w:color w:val="000000"/>
          <w:sz w:val="28"/>
          <w:szCs w:val="28"/>
          <w:lang w:val="zh-CN"/>
        </w:rPr>
        <w:t>年</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val="zh-CN"/>
        </w:rPr>
        <w:t>日</w:t>
      </w:r>
    </w:p>
    <w:p>
      <w:pPr>
        <w:autoSpaceDE w:val="0"/>
        <w:autoSpaceDN w:val="0"/>
        <w:adjustRightInd w:val="0"/>
        <w:spacing w:line="360" w:lineRule="auto"/>
        <w:ind w:left="150" w:firstLine="1680"/>
        <w:jc w:val="right"/>
        <w:rPr>
          <w:rFonts w:ascii="宋体" w:hAnsi="宋体" w:cs="宋体"/>
          <w:color w:val="000000"/>
          <w:sz w:val="28"/>
          <w:szCs w:val="28"/>
        </w:rPr>
      </w:pPr>
    </w:p>
    <w:p>
      <w:pPr>
        <w:autoSpaceDE w:val="0"/>
        <w:autoSpaceDN w:val="0"/>
        <w:adjustRightInd w:val="0"/>
        <w:spacing w:line="360" w:lineRule="auto"/>
        <w:ind w:left="315"/>
        <w:rPr>
          <w:rFonts w:ascii="宋体" w:hAnsi="宋体" w:cs="宋体"/>
          <w:color w:val="000000"/>
          <w:sz w:val="28"/>
          <w:szCs w:val="28"/>
        </w:rPr>
      </w:pPr>
      <w:r>
        <w:rPr>
          <w:rFonts w:hint="eastAsia" w:ascii="宋体" w:hAnsi="宋体" w:cs="宋体"/>
          <w:color w:val="000000"/>
          <w:sz w:val="28"/>
          <w:szCs w:val="28"/>
          <w:lang w:val="zh-CN"/>
        </w:rPr>
        <w:t>全权代表姓名：</w:t>
      </w:r>
    </w:p>
    <w:p>
      <w:pPr>
        <w:autoSpaceDE w:val="0"/>
        <w:autoSpaceDN w:val="0"/>
        <w:adjustRightInd w:val="0"/>
        <w:spacing w:line="360" w:lineRule="auto"/>
        <w:ind w:left="315"/>
        <w:rPr>
          <w:rFonts w:ascii="宋体" w:hAnsi="宋体" w:cs="宋体"/>
          <w:color w:val="000000"/>
          <w:sz w:val="28"/>
          <w:szCs w:val="28"/>
          <w:u w:val="single"/>
          <w:lang w:val="zh-CN"/>
        </w:rPr>
      </w:pPr>
      <w:r>
        <w:rPr>
          <w:rFonts w:hint="eastAsia" w:ascii="宋体" w:hAnsi="宋体" w:cs="宋体"/>
          <w:color w:val="000000"/>
          <w:sz w:val="28"/>
          <w:szCs w:val="28"/>
          <w:lang w:val="zh-CN"/>
        </w:rPr>
        <w:t>职务：</w:t>
      </w:r>
    </w:p>
    <w:p>
      <w:pPr>
        <w:autoSpaceDE w:val="0"/>
        <w:autoSpaceDN w:val="0"/>
        <w:adjustRightInd w:val="0"/>
        <w:spacing w:line="360" w:lineRule="auto"/>
        <w:ind w:left="315"/>
        <w:rPr>
          <w:rFonts w:ascii="宋体" w:hAnsi="宋体" w:cs="宋体"/>
          <w:color w:val="000000"/>
          <w:sz w:val="28"/>
          <w:szCs w:val="28"/>
          <w:u w:val="single"/>
          <w:lang w:val="zh-CN"/>
        </w:rPr>
      </w:pPr>
      <w:r>
        <w:rPr>
          <w:rFonts w:hint="eastAsia" w:ascii="宋体" w:hAnsi="宋体" w:cs="宋体"/>
          <w:color w:val="000000"/>
          <w:sz w:val="28"/>
          <w:szCs w:val="28"/>
          <w:lang w:val="zh-CN"/>
        </w:rPr>
        <w:t>身份证号码：</w:t>
      </w:r>
    </w:p>
    <w:p>
      <w:pPr>
        <w:autoSpaceDE w:val="0"/>
        <w:autoSpaceDN w:val="0"/>
        <w:adjustRightInd w:val="0"/>
        <w:spacing w:line="360" w:lineRule="auto"/>
        <w:ind w:left="629" w:hanging="314"/>
        <w:rPr>
          <w:rFonts w:ascii="宋体" w:hAnsi="宋体" w:cs="宋体"/>
          <w:color w:val="000000"/>
          <w:sz w:val="28"/>
          <w:szCs w:val="28"/>
          <w:u w:val="single"/>
          <w:lang w:val="zh-CN"/>
        </w:rPr>
      </w:pPr>
      <w:r>
        <w:rPr>
          <w:rFonts w:hint="eastAsia" w:ascii="宋体" w:hAnsi="宋体" w:cs="宋体"/>
          <w:color w:val="000000"/>
          <w:sz w:val="28"/>
          <w:szCs w:val="28"/>
          <w:lang w:val="zh-CN"/>
        </w:rPr>
        <w:t>详细通讯地址：</w:t>
      </w:r>
    </w:p>
    <w:p>
      <w:pPr>
        <w:autoSpaceDE w:val="0"/>
        <w:autoSpaceDN w:val="0"/>
        <w:adjustRightInd w:val="0"/>
        <w:spacing w:line="360" w:lineRule="auto"/>
        <w:ind w:left="629" w:hanging="314"/>
        <w:rPr>
          <w:rFonts w:ascii="宋体" w:hAnsi="宋体" w:cs="宋体"/>
          <w:color w:val="000000"/>
          <w:sz w:val="28"/>
          <w:szCs w:val="28"/>
          <w:u w:val="single"/>
          <w:lang w:val="zh-CN"/>
        </w:rPr>
      </w:pPr>
      <w:r>
        <w:rPr>
          <w:rFonts w:hint="eastAsia" w:ascii="宋体" w:hAnsi="宋体" w:cs="宋体"/>
          <w:color w:val="000000"/>
          <w:sz w:val="28"/>
          <w:szCs w:val="28"/>
          <w:lang w:val="zh-CN"/>
        </w:rPr>
        <w:t>传真：</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val="zh-CN"/>
        </w:rPr>
        <w:t>电话：</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val="zh-CN"/>
        </w:rPr>
        <w:t>邮编：</w:t>
      </w:r>
    </w:p>
    <w:p>
      <w:pPr>
        <w:spacing w:line="360" w:lineRule="auto"/>
        <w:rPr>
          <w:rFonts w:ascii="宋体" w:hAnsi="宋体" w:cs="宋体"/>
          <w:b/>
          <w:color w:val="000000"/>
          <w:sz w:val="30"/>
          <w:szCs w:val="30"/>
        </w:rPr>
      </w:pPr>
      <w:r>
        <w:rPr>
          <w:rFonts w:hint="eastAsia" w:ascii="宋体" w:hAnsi="宋体" w:cs="宋体"/>
          <w:b/>
          <w:color w:val="000000"/>
          <w:sz w:val="24"/>
        </w:rPr>
        <w:br w:type="page"/>
      </w:r>
      <w:r>
        <w:rPr>
          <w:rFonts w:hint="eastAsia" w:ascii="宋体" w:hAnsi="宋体" w:cs="宋体"/>
          <w:b/>
          <w:color w:val="000000"/>
          <w:sz w:val="30"/>
          <w:szCs w:val="30"/>
        </w:rPr>
        <w:t>格式五：</w:t>
      </w:r>
    </w:p>
    <w:p>
      <w:pPr>
        <w:spacing w:line="480" w:lineRule="exact"/>
        <w:ind w:left="480"/>
        <w:jc w:val="center"/>
        <w:rPr>
          <w:rFonts w:ascii="宋体" w:hAnsi="宋体" w:cs="宋体"/>
          <w:b/>
          <w:color w:val="000000"/>
          <w:sz w:val="36"/>
          <w:szCs w:val="36"/>
        </w:rPr>
      </w:pPr>
      <w:r>
        <w:rPr>
          <w:rFonts w:hint="eastAsia" w:ascii="宋体" w:hAnsi="宋体" w:cs="宋体"/>
          <w:b/>
          <w:color w:val="000000"/>
          <w:sz w:val="36"/>
          <w:szCs w:val="36"/>
        </w:rPr>
        <w:t>报价一览表</w:t>
      </w: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衢院招2021-47</w:t>
      </w:r>
    </w:p>
    <w:p>
      <w:pPr>
        <w:spacing w:line="480" w:lineRule="exact"/>
        <w:rPr>
          <w:rFonts w:hint="eastAsia" w:ascii="宋体" w:hAnsi="宋体" w:cs="宋体"/>
          <w:b/>
          <w:bCs/>
          <w:color w:val="000000"/>
          <w:sz w:val="32"/>
          <w:szCs w:val="32"/>
          <w:lang w:val="zh-CN"/>
        </w:rPr>
      </w:pPr>
      <w:r>
        <w:rPr>
          <w:rFonts w:hint="eastAsia" w:ascii="宋体" w:hAnsi="宋体" w:cs="宋体"/>
          <w:b/>
          <w:bCs/>
          <w:color w:val="000000"/>
          <w:sz w:val="32"/>
          <w:szCs w:val="32"/>
          <w:lang w:val="zh-CN"/>
        </w:rPr>
        <w:t>项目名称：毛竹重大病虫害样本数据采集及硬件对接服务</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240" w:lineRule="atLeast"/>
              <w:jc w:val="left"/>
              <w:rPr>
                <w:rFonts w:ascii="宋体" w:hAnsi="宋体"/>
                <w:sz w:val="30"/>
                <w:szCs w:val="30"/>
              </w:rPr>
            </w:pPr>
            <w:r>
              <w:rPr>
                <w:rFonts w:hint="eastAsia" w:ascii="宋体" w:hAnsi="宋体"/>
                <w:sz w:val="30"/>
                <w:szCs w:val="30"/>
              </w:rPr>
              <w:t>序号</w:t>
            </w:r>
          </w:p>
        </w:tc>
        <w:tc>
          <w:tcPr>
            <w:tcW w:w="3620"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报价项目</w:t>
            </w:r>
          </w:p>
        </w:tc>
        <w:tc>
          <w:tcPr>
            <w:tcW w:w="4791"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1</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2</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3</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18"/>
              <w:snapToGrid w:val="0"/>
              <w:spacing w:line="240" w:lineRule="atLeast"/>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4</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18"/>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5</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18"/>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6</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18"/>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7</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18"/>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12" w:type="dxa"/>
            <w:gridSpan w:val="2"/>
            <w:vAlign w:val="center"/>
          </w:tcPr>
          <w:p>
            <w:pPr>
              <w:spacing w:line="240" w:lineRule="atLeast"/>
              <w:ind w:firstLine="301" w:firstLineChars="100"/>
              <w:jc w:val="left"/>
              <w:rPr>
                <w:rFonts w:ascii="宋体" w:hAnsi="宋体"/>
                <w:sz w:val="30"/>
                <w:szCs w:val="30"/>
              </w:rPr>
            </w:pPr>
            <w:r>
              <w:rPr>
                <w:rFonts w:hint="eastAsia" w:ascii="宋体" w:hAnsi="宋体"/>
                <w:b/>
                <w:bCs/>
                <w:sz w:val="30"/>
                <w:szCs w:val="30"/>
                <w:lang w:val="zh-CN"/>
              </w:rPr>
              <w:t>合计总价（大写）</w:t>
            </w:r>
          </w:p>
        </w:tc>
        <w:tc>
          <w:tcPr>
            <w:tcW w:w="4791" w:type="dxa"/>
            <w:vAlign w:val="center"/>
          </w:tcPr>
          <w:p>
            <w:pPr>
              <w:pStyle w:val="18"/>
              <w:snapToGrid w:val="0"/>
              <w:spacing w:line="240" w:lineRule="atLeast"/>
              <w:ind w:firstLine="300" w:firstLineChars="100"/>
              <w:jc w:val="center"/>
              <w:rPr>
                <w:rFonts w:ascii="宋体" w:hAnsi="宋体"/>
                <w:sz w:val="30"/>
                <w:szCs w:val="30"/>
              </w:rPr>
            </w:pPr>
          </w:p>
        </w:tc>
      </w:tr>
    </w:tbl>
    <w:p>
      <w:pPr>
        <w:autoSpaceDE w:val="0"/>
        <w:autoSpaceDN w:val="0"/>
        <w:adjustRightInd w:val="0"/>
        <w:ind w:firstLine="281"/>
        <w:rPr>
          <w:rFonts w:ascii="宋体" w:hAnsi="宋体"/>
          <w:b/>
          <w:bCs/>
          <w:sz w:val="24"/>
          <w:lang w:val="zh-CN"/>
        </w:rPr>
      </w:pPr>
    </w:p>
    <w:p>
      <w:pPr>
        <w:pStyle w:val="18"/>
        <w:shd w:val="clear" w:color="auto" w:fill="FFFFFF"/>
        <w:spacing w:line="360" w:lineRule="auto"/>
        <w:rPr>
          <w:rFonts w:ascii="宋体" w:hAnsi="宋体"/>
          <w:b/>
          <w:bCs/>
        </w:rPr>
      </w:pPr>
      <w:r>
        <w:rPr>
          <w:rFonts w:ascii="宋体" w:hAnsi="宋体"/>
          <w:b/>
          <w:bCs/>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sz w:val="24"/>
        </w:rPr>
        <w:t>报价以人民币为结算币种，包括</w:t>
      </w:r>
      <w:r>
        <w:rPr>
          <w:rFonts w:hint="eastAsia" w:ascii="宋体" w:hAnsi="宋体"/>
          <w:sz w:val="24"/>
          <w:lang w:eastAsia="zh-CN"/>
        </w:rPr>
        <w:t>完成本项目</w:t>
      </w:r>
      <w:r>
        <w:rPr>
          <w:rFonts w:hint="eastAsia" w:ascii="宋体" w:hAnsi="宋体"/>
          <w:b/>
          <w:bCs/>
          <w:sz w:val="24"/>
          <w:lang w:eastAsia="zh-CN"/>
        </w:rPr>
        <w:t>数据采集及硬件对接</w:t>
      </w:r>
      <w:r>
        <w:rPr>
          <w:rFonts w:hint="eastAsia" w:ascii="宋体" w:hAnsi="宋体"/>
          <w:b/>
          <w:bCs/>
          <w:sz w:val="24"/>
        </w:rPr>
        <w:t>服务</w:t>
      </w:r>
      <w:r>
        <w:rPr>
          <w:rFonts w:hint="eastAsia" w:ascii="宋体" w:hAnsi="宋体"/>
          <w:b/>
          <w:bCs/>
          <w:sz w:val="24"/>
          <w:lang w:eastAsia="zh-CN"/>
        </w:rPr>
        <w:t>费及</w:t>
      </w:r>
    </w:p>
    <w:p>
      <w:pPr>
        <w:widowControl/>
        <w:numPr>
          <w:ilvl w:val="0"/>
          <w:numId w:val="0"/>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b/>
          <w:bCs/>
          <w:sz w:val="24"/>
          <w:lang w:eastAsia="zh-CN"/>
        </w:rPr>
        <w:t>税费等</w:t>
      </w:r>
      <w:r>
        <w:rPr>
          <w:rFonts w:hint="eastAsia" w:ascii="宋体" w:hAnsi="宋体"/>
          <w:b/>
          <w:bCs/>
          <w:sz w:val="24"/>
        </w:rPr>
        <w:t>一切费用</w:t>
      </w:r>
      <w:r>
        <w:rPr>
          <w:rFonts w:hint="eastAsia" w:ascii="宋体" w:hAnsi="宋体"/>
          <w:sz w:val="24"/>
        </w:rPr>
        <w:t>。</w:t>
      </w:r>
    </w:p>
    <w:p>
      <w:pPr>
        <w:pStyle w:val="18"/>
        <w:shd w:val="clear" w:color="auto" w:fill="FFFFFF"/>
        <w:spacing w:line="500" w:lineRule="exact"/>
        <w:ind w:firstLine="480" w:firstLineChars="200"/>
        <w:rPr>
          <w:rFonts w:ascii="宋体" w:hAnsi="宋体"/>
          <w:b/>
          <w:bCs/>
        </w:rPr>
      </w:pPr>
      <w:r>
        <w:rPr>
          <w:rFonts w:ascii="宋体" w:hAnsi="宋体"/>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360" w:lineRule="auto"/>
        <w:jc w:val="left"/>
        <w:rPr>
          <w:rFonts w:hint="eastAsia" w:ascii="宋体" w:hAnsi="宋体" w:cs="宋体"/>
          <w:b/>
          <w:bCs/>
          <w:color w:val="000000"/>
          <w:sz w:val="28"/>
          <w:szCs w:val="28"/>
        </w:rPr>
      </w:pPr>
    </w:p>
    <w:p>
      <w:pPr>
        <w:spacing w:line="360" w:lineRule="auto"/>
        <w:jc w:val="left"/>
        <w:rPr>
          <w:rFonts w:ascii="宋体" w:hAnsi="宋体" w:cs="宋体"/>
          <w:b/>
          <w:bCs/>
          <w:color w:val="000000"/>
          <w:sz w:val="28"/>
          <w:szCs w:val="28"/>
        </w:rPr>
      </w:pPr>
      <w:r>
        <w:rPr>
          <w:rFonts w:hint="eastAsia" w:ascii="宋体" w:hAnsi="宋体" w:cs="宋体"/>
          <w:b/>
          <w:bCs/>
          <w:color w:val="000000"/>
          <w:sz w:val="28"/>
          <w:szCs w:val="28"/>
        </w:rPr>
        <w:t>格式六：</w:t>
      </w:r>
    </w:p>
    <w:p>
      <w:pPr>
        <w:autoSpaceDE w:val="0"/>
        <w:autoSpaceDN w:val="0"/>
        <w:adjustRightInd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质量保障措施和售后服务承诺书</w:t>
      </w:r>
    </w:p>
    <w:p>
      <w:pPr>
        <w:autoSpaceDE w:val="0"/>
        <w:autoSpaceDN w:val="0"/>
        <w:adjustRightInd w:val="0"/>
        <w:jc w:val="center"/>
        <w:rPr>
          <w:rFonts w:ascii="宋体" w:hAnsi="宋体" w:cs="宋体"/>
          <w:color w:val="000000"/>
          <w:kern w:val="0"/>
          <w:sz w:val="24"/>
        </w:rPr>
      </w:pPr>
    </w:p>
    <w:p>
      <w:pPr>
        <w:snapToGrid w:val="0"/>
        <w:spacing w:line="360" w:lineRule="auto"/>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衢院招2021-47</w:t>
      </w:r>
    </w:p>
    <w:p>
      <w:pPr>
        <w:spacing w:line="480" w:lineRule="exact"/>
        <w:rPr>
          <w:rFonts w:ascii="宋体" w:hAnsi="宋体" w:cs="宋体"/>
          <w:bCs/>
          <w:color w:val="000000"/>
          <w:sz w:val="28"/>
          <w:szCs w:val="28"/>
        </w:rPr>
      </w:pPr>
      <w:r>
        <w:rPr>
          <w:rFonts w:hint="eastAsia" w:ascii="宋体" w:hAnsi="宋体" w:cs="宋体"/>
          <w:spacing w:val="20"/>
          <w:sz w:val="32"/>
          <w:szCs w:val="32"/>
        </w:rPr>
        <w:t>项目名称：</w:t>
      </w:r>
      <w:r>
        <w:rPr>
          <w:rFonts w:hint="eastAsia" w:ascii="宋体" w:hAnsi="宋体" w:cs="宋体"/>
          <w:b/>
          <w:bCs/>
          <w:color w:val="000000"/>
          <w:sz w:val="32"/>
          <w:szCs w:val="32"/>
          <w:lang w:val="zh-CN"/>
        </w:rPr>
        <w:t>毛竹重大病虫害样本数据采集及硬件对接服务</w:t>
      </w:r>
    </w:p>
    <w:p>
      <w:pPr>
        <w:snapToGrid w:val="0"/>
        <w:spacing w:line="360" w:lineRule="auto"/>
        <w:ind w:left="1400" w:hanging="1400" w:hangingChars="500"/>
        <w:rPr>
          <w:rFonts w:ascii="宋体" w:hAnsi="宋体" w:cs="宋体"/>
          <w:bCs/>
          <w:color w:val="000000"/>
          <w:sz w:val="28"/>
          <w:szCs w:val="28"/>
        </w:rPr>
      </w:pPr>
    </w:p>
    <w:tbl>
      <w:tblPr>
        <w:tblStyle w:val="15"/>
        <w:tblpPr w:leftFromText="180" w:rightFromText="180" w:vertAnchor="text" w:horzAnchor="margin" w:tblpY="26"/>
        <w:tblOverlap w:val="never"/>
        <w:tblW w:w="8496" w:type="dxa"/>
        <w:tblInd w:w="0" w:type="dxa"/>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trPr>
        <w:tc>
          <w:tcPr>
            <w:tcW w:w="904" w:type="dxa"/>
            <w:gridSpan w:val="2"/>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序号</w:t>
            </w:r>
          </w:p>
        </w:tc>
        <w:tc>
          <w:tcPr>
            <w:tcW w:w="3840" w:type="dxa"/>
            <w:tcBorders>
              <w:top w:val="single" w:color="auto" w:sz="8" w:space="0"/>
              <w:left w:val="nil"/>
              <w:bottom w:val="single" w:color="auto" w:sz="8" w:space="0"/>
              <w:right w:val="single" w:color="auto" w:sz="4" w:space="0"/>
            </w:tcBorders>
            <w:noWrap/>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noWrap/>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承  诺</w:t>
            </w:r>
          </w:p>
        </w:tc>
        <w:tc>
          <w:tcPr>
            <w:tcW w:w="1800" w:type="dxa"/>
            <w:tcBorders>
              <w:top w:val="single" w:color="auto" w:sz="8" w:space="0"/>
              <w:left w:val="nil"/>
              <w:bottom w:val="single" w:color="auto" w:sz="8" w:space="0"/>
              <w:right w:val="single" w:color="auto" w:sz="8" w:space="0"/>
            </w:tcBorders>
            <w:noWrap/>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trPr>
        <w:tc>
          <w:tcPr>
            <w:tcW w:w="894" w:type="dxa"/>
            <w:tcBorders>
              <w:top w:val="nil"/>
              <w:left w:val="single" w:color="auto" w:sz="8" w:space="0"/>
              <w:bottom w:val="single" w:color="auto" w:sz="8"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nil"/>
              <w:left w:val="nil"/>
              <w:bottom w:val="single" w:color="auto" w:sz="8" w:space="0"/>
              <w:right w:val="single" w:color="auto" w:sz="4" w:space="0"/>
            </w:tcBorders>
            <w:noWrap/>
            <w:vAlign w:val="center"/>
          </w:tcPr>
          <w:p>
            <w:pPr>
              <w:autoSpaceDE w:val="0"/>
              <w:autoSpaceDN w:val="0"/>
              <w:adjustRightInd w:val="0"/>
              <w:jc w:val="center"/>
              <w:rPr>
                <w:rFonts w:ascii="宋体" w:hAnsi="宋体"/>
                <w:kern w:val="0"/>
                <w:sz w:val="28"/>
                <w:szCs w:val="28"/>
              </w:rPr>
            </w:pPr>
          </w:p>
        </w:tc>
        <w:tc>
          <w:tcPr>
            <w:tcW w:w="1952" w:type="dxa"/>
            <w:tcBorders>
              <w:top w:val="nil"/>
              <w:left w:val="single" w:color="auto" w:sz="4" w:space="0"/>
              <w:bottom w:val="single" w:color="auto" w:sz="8"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nil"/>
              <w:left w:val="nil"/>
              <w:bottom w:val="single" w:color="auto" w:sz="8" w:space="0"/>
              <w:right w:val="single" w:color="auto" w:sz="8" w:space="0"/>
            </w:tcBorders>
            <w:noWrap/>
            <w:vAlign w:val="center"/>
          </w:tcPr>
          <w:p>
            <w:pPr>
              <w:autoSpaceDE w:val="0"/>
              <w:autoSpaceDN w:val="0"/>
              <w:adjustRightInd w:val="0"/>
              <w:rPr>
                <w:rFonts w:ascii="宋体" w:hAnsi="宋体"/>
                <w:kern w:val="0"/>
                <w:sz w:val="28"/>
                <w:szCs w:val="28"/>
              </w:rPr>
            </w:pPr>
          </w:p>
        </w:tc>
      </w:tr>
      <w:tr>
        <w:tblPrEx>
          <w:tblCellMar>
            <w:top w:w="0" w:type="dxa"/>
            <w:left w:w="10" w:type="dxa"/>
            <w:bottom w:w="0" w:type="dxa"/>
            <w:right w:w="10" w:type="dxa"/>
          </w:tblCellMar>
        </w:tblPrEx>
        <w:trPr>
          <w:trHeight w:val="567" w:hRule="atLeast"/>
        </w:trPr>
        <w:tc>
          <w:tcPr>
            <w:tcW w:w="904" w:type="dxa"/>
            <w:gridSpan w:val="2"/>
            <w:tcBorders>
              <w:top w:val="nil"/>
              <w:left w:val="single" w:color="auto" w:sz="8" w:space="0"/>
              <w:bottom w:val="single" w:color="auto" w:sz="4"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nil"/>
              <w:left w:val="nil"/>
              <w:bottom w:val="single" w:color="auto" w:sz="4" w:space="0"/>
              <w:right w:val="single" w:color="auto" w:sz="4" w:space="0"/>
            </w:tcBorders>
            <w:noWrap/>
            <w:vAlign w:val="center"/>
          </w:tcPr>
          <w:p>
            <w:pPr>
              <w:autoSpaceDE w:val="0"/>
              <w:autoSpaceDN w:val="0"/>
              <w:adjustRightInd w:val="0"/>
              <w:jc w:val="center"/>
              <w:rPr>
                <w:rFonts w:ascii="宋体" w:hAnsi="宋体"/>
                <w:kern w:val="0"/>
                <w:sz w:val="28"/>
                <w:szCs w:val="28"/>
              </w:rPr>
            </w:pPr>
          </w:p>
        </w:tc>
        <w:tc>
          <w:tcPr>
            <w:tcW w:w="1952" w:type="dxa"/>
            <w:tcBorders>
              <w:top w:val="nil"/>
              <w:left w:val="single" w:color="auto" w:sz="4" w:space="0"/>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nil"/>
              <w:left w:val="nil"/>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r>
      <w:tr>
        <w:tblPrEx>
          <w:tblCellMar>
            <w:top w:w="0" w:type="dxa"/>
            <w:left w:w="10" w:type="dxa"/>
            <w:bottom w:w="0" w:type="dxa"/>
            <w:right w:w="10" w:type="dxa"/>
          </w:tblCellMar>
        </w:tblPrEx>
        <w:trPr>
          <w:trHeight w:val="567" w:hRule="atLeast"/>
        </w:trPr>
        <w:tc>
          <w:tcPr>
            <w:tcW w:w="904" w:type="dxa"/>
            <w:gridSpan w:val="2"/>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kern w:val="0"/>
                <w:sz w:val="28"/>
                <w:szCs w:val="28"/>
              </w:rPr>
            </w:pPr>
          </w:p>
        </w:tc>
        <w:tc>
          <w:tcPr>
            <w:tcW w:w="1952" w:type="dxa"/>
            <w:tcBorders>
              <w:top w:val="single" w:color="auto" w:sz="4" w:space="0"/>
              <w:left w:val="single" w:color="auto" w:sz="4" w:space="0"/>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r>
      <w:tr>
        <w:tblPrEx>
          <w:tblCellMar>
            <w:top w:w="0" w:type="dxa"/>
            <w:left w:w="10" w:type="dxa"/>
            <w:bottom w:w="0" w:type="dxa"/>
            <w:right w:w="10" w:type="dxa"/>
          </w:tblCellMar>
        </w:tblPrEx>
        <w:trPr>
          <w:trHeight w:val="567" w:hRule="atLeast"/>
        </w:trPr>
        <w:tc>
          <w:tcPr>
            <w:tcW w:w="904" w:type="dxa"/>
            <w:gridSpan w:val="2"/>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r>
      <w:tr>
        <w:tblPrEx>
          <w:tblCellMar>
            <w:top w:w="0" w:type="dxa"/>
            <w:left w:w="10" w:type="dxa"/>
            <w:bottom w:w="0" w:type="dxa"/>
            <w:right w:w="10" w:type="dxa"/>
          </w:tblCellMar>
        </w:tblPrEx>
        <w:trPr>
          <w:trHeight w:val="567" w:hRule="atLeast"/>
        </w:trPr>
        <w:tc>
          <w:tcPr>
            <w:tcW w:w="904" w:type="dxa"/>
            <w:gridSpan w:val="2"/>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r>
      <w:tr>
        <w:tblPrEx>
          <w:tblCellMar>
            <w:top w:w="0" w:type="dxa"/>
            <w:left w:w="10" w:type="dxa"/>
            <w:bottom w:w="0" w:type="dxa"/>
            <w:right w:w="10" w:type="dxa"/>
          </w:tblCellMar>
        </w:tblPrEx>
        <w:trPr>
          <w:trHeight w:val="567" w:hRule="atLeast"/>
        </w:trPr>
        <w:tc>
          <w:tcPr>
            <w:tcW w:w="904" w:type="dxa"/>
            <w:gridSpan w:val="2"/>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r>
      <w:tr>
        <w:tblPrEx>
          <w:tblCellMar>
            <w:top w:w="0" w:type="dxa"/>
            <w:left w:w="10" w:type="dxa"/>
            <w:bottom w:w="0" w:type="dxa"/>
            <w:right w:w="10" w:type="dxa"/>
          </w:tblCellMar>
        </w:tblPrEx>
        <w:trPr>
          <w:trHeight w:val="567" w:hRule="atLeast"/>
        </w:trPr>
        <w:tc>
          <w:tcPr>
            <w:tcW w:w="904" w:type="dxa"/>
            <w:gridSpan w:val="2"/>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r>
      <w:tr>
        <w:tblPrEx>
          <w:tblCellMar>
            <w:top w:w="0" w:type="dxa"/>
            <w:left w:w="10" w:type="dxa"/>
            <w:bottom w:w="0" w:type="dxa"/>
            <w:right w:w="10" w:type="dxa"/>
          </w:tblCellMar>
        </w:tblPrEx>
        <w:trPr>
          <w:trHeight w:val="567" w:hRule="atLeast"/>
        </w:trPr>
        <w:tc>
          <w:tcPr>
            <w:tcW w:w="904" w:type="dxa"/>
            <w:gridSpan w:val="2"/>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r>
      <w:tr>
        <w:tblPrEx>
          <w:tblCellMar>
            <w:top w:w="0" w:type="dxa"/>
            <w:left w:w="10" w:type="dxa"/>
            <w:bottom w:w="0" w:type="dxa"/>
            <w:right w:w="10" w:type="dxa"/>
          </w:tblCellMar>
        </w:tblPrEx>
        <w:trPr>
          <w:trHeight w:val="567" w:hRule="atLeast"/>
        </w:trPr>
        <w:tc>
          <w:tcPr>
            <w:tcW w:w="904" w:type="dxa"/>
            <w:gridSpan w:val="2"/>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jc w:val="center"/>
              <w:rPr>
                <w:rFonts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ign w:val="center"/>
          </w:tcPr>
          <w:p>
            <w:pPr>
              <w:autoSpaceDE w:val="0"/>
              <w:autoSpaceDN w:val="0"/>
              <w:adjustRightInd w:val="0"/>
              <w:rPr>
                <w:rFonts w:ascii="宋体" w:hAnsi="宋体"/>
                <w:kern w:val="0"/>
                <w:sz w:val="28"/>
                <w:szCs w:val="28"/>
              </w:rPr>
            </w:pPr>
          </w:p>
        </w:tc>
      </w:tr>
    </w:tbl>
    <w:p>
      <w:pPr>
        <w:snapToGrid w:val="0"/>
        <w:spacing w:line="360" w:lineRule="auto"/>
        <w:ind w:left="1400" w:hanging="1400" w:hangingChars="500"/>
        <w:rPr>
          <w:rFonts w:ascii="宋体" w:hAnsi="宋体" w:cs="宋体"/>
          <w:bCs/>
          <w:color w:val="000000"/>
          <w:sz w:val="28"/>
          <w:szCs w:val="28"/>
        </w:rPr>
      </w:pPr>
    </w:p>
    <w:p>
      <w:pPr>
        <w:snapToGrid w:val="0"/>
        <w:spacing w:line="360" w:lineRule="auto"/>
        <w:ind w:left="1400" w:hanging="1400" w:hangingChars="500"/>
        <w:rPr>
          <w:rFonts w:ascii="宋体" w:hAnsi="宋体" w:cs="宋体"/>
          <w:bCs/>
          <w:color w:val="000000"/>
          <w:sz w:val="28"/>
          <w:szCs w:val="28"/>
        </w:rPr>
      </w:pPr>
      <w:r>
        <w:rPr>
          <w:rFonts w:hint="eastAsia" w:ascii="宋体" w:hAnsi="宋体" w:cs="宋体"/>
          <w:bCs/>
          <w:color w:val="000000"/>
          <w:sz w:val="28"/>
          <w:szCs w:val="28"/>
        </w:rPr>
        <w:t>响应人（盖章）：</w:t>
      </w:r>
    </w:p>
    <w:p>
      <w:pPr>
        <w:spacing w:line="480" w:lineRule="exact"/>
        <w:jc w:val="left"/>
        <w:rPr>
          <w:rFonts w:ascii="宋体" w:hAnsi="宋体" w:cs="宋体"/>
          <w:sz w:val="28"/>
          <w:szCs w:val="28"/>
          <w:lang w:val="zh-CN"/>
        </w:rPr>
      </w:pPr>
    </w:p>
    <w:p>
      <w:pPr>
        <w:spacing w:line="480" w:lineRule="exact"/>
        <w:jc w:val="left"/>
        <w:rPr>
          <w:rFonts w:ascii="宋体" w:hAnsi="宋体" w:cs="宋体"/>
          <w:bCs/>
          <w:color w:val="000000"/>
          <w:sz w:val="28"/>
          <w:szCs w:val="28"/>
        </w:rPr>
      </w:pPr>
      <w:r>
        <w:rPr>
          <w:rFonts w:hint="eastAsia" w:ascii="宋体" w:hAnsi="宋体" w:cs="宋体"/>
          <w:sz w:val="28"/>
          <w:szCs w:val="28"/>
          <w:lang w:val="zh-CN"/>
        </w:rPr>
        <w:t>响应人</w:t>
      </w:r>
      <w:r>
        <w:rPr>
          <w:rFonts w:hint="eastAsia" w:ascii="宋体" w:hAnsi="宋体" w:cs="宋体"/>
          <w:bCs/>
          <w:color w:val="000000"/>
          <w:sz w:val="28"/>
          <w:szCs w:val="28"/>
        </w:rPr>
        <w:t>全权代表签字：</w:t>
      </w:r>
    </w:p>
    <w:p>
      <w:pPr>
        <w:spacing w:line="480" w:lineRule="exact"/>
        <w:jc w:val="left"/>
        <w:rPr>
          <w:rFonts w:hint="eastAsia" w:ascii="宋体" w:hAnsi="宋体" w:cs="宋体"/>
          <w:bCs/>
          <w:color w:val="000000"/>
          <w:sz w:val="28"/>
          <w:szCs w:val="28"/>
        </w:rPr>
      </w:pPr>
    </w:p>
    <w:p>
      <w:pPr>
        <w:spacing w:line="480" w:lineRule="exact"/>
        <w:jc w:val="left"/>
        <w:rPr>
          <w:rFonts w:ascii="宋体" w:hAnsi="宋体" w:cs="宋体"/>
          <w:bCs/>
          <w:color w:val="000000"/>
          <w:sz w:val="28"/>
          <w:szCs w:val="28"/>
        </w:rPr>
      </w:pPr>
      <w:r>
        <w:rPr>
          <w:rFonts w:hint="eastAsia" w:ascii="宋体" w:hAnsi="宋体" w:cs="宋体"/>
          <w:bCs/>
          <w:color w:val="000000"/>
          <w:sz w:val="28"/>
          <w:szCs w:val="28"/>
        </w:rPr>
        <w:t>日期：   年   月  日</w:t>
      </w:r>
    </w:p>
    <w:p>
      <w:pPr>
        <w:spacing w:line="480" w:lineRule="exact"/>
        <w:jc w:val="left"/>
        <w:rPr>
          <w:rFonts w:ascii="宋体" w:hAnsi="宋体" w:cs="宋体"/>
          <w:b/>
          <w:color w:val="000000"/>
          <w:sz w:val="36"/>
          <w:szCs w:val="36"/>
        </w:rPr>
      </w:pPr>
      <w:r>
        <w:rPr>
          <w:rFonts w:hint="eastAsia" w:ascii="宋体" w:hAnsi="宋体" w:cs="宋体"/>
          <w:b/>
          <w:bCs/>
          <w:color w:val="000000"/>
          <w:sz w:val="28"/>
          <w:szCs w:val="28"/>
        </w:rPr>
        <w:br w:type="page"/>
      </w:r>
      <w:r>
        <w:rPr>
          <w:rFonts w:hint="eastAsia" w:ascii="宋体" w:hAnsi="宋体" w:cs="宋体"/>
          <w:b/>
          <w:bCs/>
          <w:color w:val="000000"/>
          <w:sz w:val="28"/>
          <w:szCs w:val="28"/>
        </w:rPr>
        <w:t>格式七：</w:t>
      </w:r>
    </w:p>
    <w:p>
      <w:pPr>
        <w:autoSpaceDE w:val="0"/>
        <w:autoSpaceDN w:val="0"/>
        <w:adjustRightInd w:val="0"/>
        <w:jc w:val="center"/>
        <w:rPr>
          <w:rFonts w:ascii="宋体" w:hAnsi="宋体" w:cs="宋体"/>
          <w:b/>
          <w:color w:val="000000"/>
          <w:sz w:val="36"/>
          <w:szCs w:val="36"/>
        </w:rPr>
      </w:pPr>
      <w:r>
        <w:rPr>
          <w:rFonts w:hint="eastAsia" w:ascii="宋体" w:hAnsi="宋体" w:cs="宋体"/>
          <w:b/>
          <w:color w:val="000000"/>
          <w:sz w:val="36"/>
          <w:szCs w:val="36"/>
        </w:rPr>
        <w:t>同类项目实施情况一览表</w:t>
      </w:r>
    </w:p>
    <w:p>
      <w:pPr>
        <w:snapToGrid w:val="0"/>
        <w:spacing w:line="360" w:lineRule="auto"/>
        <w:rPr>
          <w:rFonts w:ascii="宋体" w:hAnsi="宋体" w:cs="宋体"/>
          <w:color w:val="000000"/>
          <w:spacing w:val="20"/>
          <w:sz w:val="32"/>
          <w:szCs w:val="32"/>
        </w:rPr>
      </w:pPr>
    </w:p>
    <w:p>
      <w:pPr>
        <w:snapToGrid w:val="0"/>
        <w:spacing w:line="360" w:lineRule="auto"/>
        <w:rPr>
          <w:rFonts w:ascii="宋体" w:hAnsi="宋体" w:cs="宋体"/>
          <w:b/>
          <w:bCs/>
          <w:color w:val="000000"/>
          <w:spacing w:val="20"/>
          <w:sz w:val="32"/>
          <w:szCs w:val="32"/>
        </w:rPr>
      </w:pPr>
      <w:r>
        <w:rPr>
          <w:rFonts w:hint="eastAsia" w:ascii="宋体" w:hAnsi="宋体" w:cs="宋体"/>
          <w:b/>
          <w:bCs/>
          <w:color w:val="000000"/>
          <w:spacing w:val="20"/>
          <w:sz w:val="32"/>
          <w:szCs w:val="32"/>
        </w:rPr>
        <w:t>项目编号：衢院招2021-47</w:t>
      </w:r>
    </w:p>
    <w:p>
      <w:pPr>
        <w:spacing w:line="480" w:lineRule="exact"/>
        <w:rPr>
          <w:rFonts w:ascii="宋体" w:hAnsi="宋体" w:cs="宋体"/>
          <w:bCs/>
          <w:color w:val="000000"/>
          <w:sz w:val="28"/>
          <w:szCs w:val="28"/>
        </w:rPr>
      </w:pPr>
      <w:r>
        <w:rPr>
          <w:rFonts w:hint="eastAsia" w:ascii="宋体" w:hAnsi="宋体" w:cs="宋体"/>
          <w:b/>
          <w:bCs/>
          <w:color w:val="000000"/>
          <w:spacing w:val="20"/>
          <w:sz w:val="32"/>
          <w:szCs w:val="32"/>
        </w:rPr>
        <w:t>项目名称：</w:t>
      </w:r>
      <w:r>
        <w:rPr>
          <w:rFonts w:hint="eastAsia" w:ascii="宋体" w:hAnsi="宋体" w:cs="宋体"/>
          <w:b/>
          <w:bCs/>
          <w:color w:val="000000"/>
          <w:sz w:val="32"/>
          <w:szCs w:val="32"/>
          <w:lang w:val="zh-CN"/>
        </w:rPr>
        <w:t>毛竹重大病虫害样本数据采集及硬件对接服务</w:t>
      </w: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ign w:val="center"/>
          </w:tcPr>
          <w:p>
            <w:pPr>
              <w:jc w:val="center"/>
              <w:rPr>
                <w:rFonts w:ascii="宋体" w:hAnsi="宋体" w:cs="宋体"/>
                <w:b/>
                <w:bCs/>
                <w:color w:val="000000"/>
                <w:sz w:val="24"/>
              </w:rPr>
            </w:pPr>
            <w:r>
              <w:rPr>
                <w:rFonts w:hint="eastAsia" w:ascii="宋体" w:hAnsi="宋体" w:cs="宋体"/>
                <w:b/>
                <w:bCs/>
                <w:color w:val="000000"/>
                <w:sz w:val="24"/>
              </w:rPr>
              <w:t>合作方名称</w:t>
            </w:r>
          </w:p>
        </w:tc>
        <w:tc>
          <w:tcPr>
            <w:tcW w:w="2008" w:type="dxa"/>
            <w:noWrap/>
            <w:vAlign w:val="center"/>
          </w:tcPr>
          <w:p>
            <w:pPr>
              <w:jc w:val="center"/>
              <w:rPr>
                <w:rFonts w:ascii="宋体" w:hAnsi="宋体" w:cs="宋体"/>
                <w:b/>
                <w:bCs/>
                <w:color w:val="000000"/>
                <w:sz w:val="24"/>
              </w:rPr>
            </w:pPr>
            <w:r>
              <w:rPr>
                <w:rFonts w:hint="eastAsia" w:ascii="宋体" w:hAnsi="宋体" w:cs="宋体"/>
                <w:b/>
                <w:bCs/>
                <w:color w:val="000000"/>
                <w:sz w:val="24"/>
              </w:rPr>
              <w:t>合作内容</w:t>
            </w:r>
          </w:p>
        </w:tc>
        <w:tc>
          <w:tcPr>
            <w:tcW w:w="1312" w:type="dxa"/>
            <w:noWrap/>
            <w:vAlign w:val="center"/>
          </w:tcPr>
          <w:p>
            <w:pPr>
              <w:jc w:val="center"/>
              <w:rPr>
                <w:rFonts w:ascii="宋体" w:hAnsi="宋体" w:cs="宋体"/>
                <w:b/>
                <w:bCs/>
                <w:color w:val="000000"/>
                <w:sz w:val="24"/>
              </w:rPr>
            </w:pPr>
            <w:r>
              <w:rPr>
                <w:rFonts w:hint="eastAsia" w:ascii="宋体" w:hAnsi="宋体" w:cs="宋体"/>
                <w:b/>
                <w:bCs/>
                <w:color w:val="000000"/>
                <w:sz w:val="24"/>
              </w:rPr>
              <w:t>合作期</w:t>
            </w:r>
          </w:p>
        </w:tc>
        <w:tc>
          <w:tcPr>
            <w:tcW w:w="1346" w:type="dxa"/>
            <w:noWrap/>
            <w:vAlign w:val="center"/>
          </w:tcPr>
          <w:p>
            <w:pPr>
              <w:jc w:val="center"/>
              <w:rPr>
                <w:rFonts w:ascii="宋体" w:hAnsi="宋体" w:cs="宋体"/>
                <w:b/>
                <w:bCs/>
                <w:color w:val="000000"/>
                <w:sz w:val="24"/>
              </w:rPr>
            </w:pPr>
            <w:r>
              <w:rPr>
                <w:rFonts w:hint="eastAsia" w:ascii="宋体" w:hAnsi="宋体" w:cs="宋体"/>
                <w:b/>
                <w:bCs/>
                <w:color w:val="000000"/>
                <w:sz w:val="24"/>
              </w:rPr>
              <w:t>投资金额（万元）</w:t>
            </w:r>
          </w:p>
        </w:tc>
        <w:tc>
          <w:tcPr>
            <w:tcW w:w="2048" w:type="dxa"/>
            <w:noWrap/>
            <w:vAlign w:val="center"/>
          </w:tcPr>
          <w:p>
            <w:pPr>
              <w:jc w:val="center"/>
              <w:rPr>
                <w:rFonts w:ascii="宋体" w:hAnsi="宋体" w:cs="宋体"/>
                <w:b/>
                <w:bCs/>
                <w:color w:val="000000"/>
                <w:sz w:val="24"/>
              </w:rPr>
            </w:pPr>
            <w:r>
              <w:rPr>
                <w:rFonts w:hint="eastAsia" w:ascii="宋体" w:hAnsi="宋体" w:cs="宋体"/>
                <w:b/>
                <w:bCs/>
                <w:color w:val="000000"/>
                <w:sz w:val="24"/>
              </w:rPr>
              <w:t>合作单位联系人及联系电话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tcPr>
          <w:p>
            <w:pPr>
              <w:jc w:val="center"/>
              <w:rPr>
                <w:rFonts w:ascii="宋体" w:hAnsi="宋体" w:cs="宋体"/>
                <w:bCs/>
                <w:color w:val="000000"/>
                <w:sz w:val="32"/>
              </w:rPr>
            </w:pPr>
          </w:p>
        </w:tc>
        <w:tc>
          <w:tcPr>
            <w:tcW w:w="2008" w:type="dxa"/>
            <w:noWrap/>
          </w:tcPr>
          <w:p>
            <w:pPr>
              <w:jc w:val="center"/>
              <w:rPr>
                <w:rFonts w:ascii="宋体" w:hAnsi="宋体" w:cs="宋体"/>
                <w:bCs/>
                <w:color w:val="000000"/>
                <w:sz w:val="32"/>
              </w:rPr>
            </w:pPr>
          </w:p>
        </w:tc>
        <w:tc>
          <w:tcPr>
            <w:tcW w:w="1312" w:type="dxa"/>
            <w:noWrap/>
          </w:tcPr>
          <w:p>
            <w:pPr>
              <w:jc w:val="center"/>
              <w:rPr>
                <w:rFonts w:ascii="宋体" w:hAnsi="宋体" w:cs="宋体"/>
                <w:bCs/>
                <w:color w:val="000000"/>
                <w:sz w:val="32"/>
              </w:rPr>
            </w:pPr>
          </w:p>
        </w:tc>
        <w:tc>
          <w:tcPr>
            <w:tcW w:w="1346" w:type="dxa"/>
            <w:noWrap/>
          </w:tcPr>
          <w:p>
            <w:pPr>
              <w:jc w:val="center"/>
              <w:rPr>
                <w:rFonts w:ascii="宋体" w:hAnsi="宋体" w:cs="宋体"/>
                <w:bCs/>
                <w:color w:val="000000"/>
                <w:sz w:val="32"/>
              </w:rPr>
            </w:pPr>
          </w:p>
        </w:tc>
        <w:tc>
          <w:tcPr>
            <w:tcW w:w="2048" w:type="dxa"/>
            <w:noWra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tcPr>
          <w:p>
            <w:pPr>
              <w:jc w:val="center"/>
              <w:rPr>
                <w:rFonts w:ascii="宋体" w:hAnsi="宋体" w:cs="宋体"/>
                <w:bCs/>
                <w:color w:val="000000"/>
                <w:sz w:val="32"/>
              </w:rPr>
            </w:pPr>
          </w:p>
        </w:tc>
        <w:tc>
          <w:tcPr>
            <w:tcW w:w="2008" w:type="dxa"/>
            <w:noWrap/>
          </w:tcPr>
          <w:p>
            <w:pPr>
              <w:jc w:val="center"/>
              <w:rPr>
                <w:rFonts w:ascii="宋体" w:hAnsi="宋体" w:cs="宋体"/>
                <w:bCs/>
                <w:color w:val="000000"/>
                <w:sz w:val="32"/>
              </w:rPr>
            </w:pPr>
          </w:p>
        </w:tc>
        <w:tc>
          <w:tcPr>
            <w:tcW w:w="1312" w:type="dxa"/>
            <w:noWrap/>
          </w:tcPr>
          <w:p>
            <w:pPr>
              <w:jc w:val="center"/>
              <w:rPr>
                <w:rFonts w:ascii="宋体" w:hAnsi="宋体" w:cs="宋体"/>
                <w:bCs/>
                <w:color w:val="000000"/>
                <w:sz w:val="32"/>
              </w:rPr>
            </w:pPr>
          </w:p>
        </w:tc>
        <w:tc>
          <w:tcPr>
            <w:tcW w:w="1346" w:type="dxa"/>
            <w:noWrap/>
          </w:tcPr>
          <w:p>
            <w:pPr>
              <w:jc w:val="center"/>
              <w:rPr>
                <w:rFonts w:ascii="宋体" w:hAnsi="宋体" w:cs="宋体"/>
                <w:bCs/>
                <w:color w:val="000000"/>
                <w:sz w:val="32"/>
              </w:rPr>
            </w:pPr>
          </w:p>
        </w:tc>
        <w:tc>
          <w:tcPr>
            <w:tcW w:w="2048" w:type="dxa"/>
            <w:noWra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tcPr>
          <w:p>
            <w:pPr>
              <w:jc w:val="center"/>
              <w:rPr>
                <w:rFonts w:ascii="宋体" w:hAnsi="宋体" w:cs="宋体"/>
                <w:bCs/>
                <w:color w:val="000000"/>
                <w:sz w:val="32"/>
              </w:rPr>
            </w:pPr>
          </w:p>
        </w:tc>
        <w:tc>
          <w:tcPr>
            <w:tcW w:w="2008" w:type="dxa"/>
            <w:noWrap/>
          </w:tcPr>
          <w:p>
            <w:pPr>
              <w:jc w:val="center"/>
              <w:rPr>
                <w:rFonts w:ascii="宋体" w:hAnsi="宋体" w:cs="宋体"/>
                <w:bCs/>
                <w:color w:val="000000"/>
                <w:sz w:val="32"/>
              </w:rPr>
            </w:pPr>
          </w:p>
        </w:tc>
        <w:tc>
          <w:tcPr>
            <w:tcW w:w="1312" w:type="dxa"/>
            <w:noWrap/>
          </w:tcPr>
          <w:p>
            <w:pPr>
              <w:jc w:val="center"/>
              <w:rPr>
                <w:rFonts w:ascii="宋体" w:hAnsi="宋体" w:cs="宋体"/>
                <w:bCs/>
                <w:color w:val="000000"/>
                <w:sz w:val="32"/>
              </w:rPr>
            </w:pPr>
          </w:p>
        </w:tc>
        <w:tc>
          <w:tcPr>
            <w:tcW w:w="1346" w:type="dxa"/>
            <w:noWrap/>
          </w:tcPr>
          <w:p>
            <w:pPr>
              <w:jc w:val="center"/>
              <w:rPr>
                <w:rFonts w:ascii="宋体" w:hAnsi="宋体" w:cs="宋体"/>
                <w:bCs/>
                <w:color w:val="000000"/>
                <w:sz w:val="32"/>
              </w:rPr>
            </w:pPr>
          </w:p>
        </w:tc>
        <w:tc>
          <w:tcPr>
            <w:tcW w:w="2048" w:type="dxa"/>
            <w:noWra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tcPr>
          <w:p>
            <w:pPr>
              <w:jc w:val="center"/>
              <w:rPr>
                <w:rFonts w:ascii="宋体" w:hAnsi="宋体" w:cs="宋体"/>
                <w:bCs/>
                <w:color w:val="000000"/>
                <w:sz w:val="32"/>
              </w:rPr>
            </w:pPr>
          </w:p>
        </w:tc>
        <w:tc>
          <w:tcPr>
            <w:tcW w:w="2008" w:type="dxa"/>
            <w:noWrap/>
          </w:tcPr>
          <w:p>
            <w:pPr>
              <w:jc w:val="center"/>
              <w:rPr>
                <w:rFonts w:ascii="宋体" w:hAnsi="宋体" w:cs="宋体"/>
                <w:bCs/>
                <w:color w:val="000000"/>
                <w:sz w:val="32"/>
              </w:rPr>
            </w:pPr>
          </w:p>
        </w:tc>
        <w:tc>
          <w:tcPr>
            <w:tcW w:w="1312" w:type="dxa"/>
            <w:noWrap/>
          </w:tcPr>
          <w:p>
            <w:pPr>
              <w:jc w:val="center"/>
              <w:rPr>
                <w:rFonts w:ascii="宋体" w:hAnsi="宋体" w:cs="宋体"/>
                <w:bCs/>
                <w:color w:val="000000"/>
                <w:sz w:val="32"/>
              </w:rPr>
            </w:pPr>
          </w:p>
        </w:tc>
        <w:tc>
          <w:tcPr>
            <w:tcW w:w="1346" w:type="dxa"/>
            <w:noWrap/>
          </w:tcPr>
          <w:p>
            <w:pPr>
              <w:jc w:val="center"/>
              <w:rPr>
                <w:rFonts w:ascii="宋体" w:hAnsi="宋体" w:cs="宋体"/>
                <w:bCs/>
                <w:color w:val="000000"/>
                <w:sz w:val="32"/>
              </w:rPr>
            </w:pPr>
          </w:p>
        </w:tc>
        <w:tc>
          <w:tcPr>
            <w:tcW w:w="2048" w:type="dxa"/>
            <w:noWra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tcPr>
          <w:p>
            <w:pPr>
              <w:jc w:val="center"/>
              <w:rPr>
                <w:rFonts w:ascii="宋体" w:hAnsi="宋体" w:cs="宋体"/>
                <w:bCs/>
                <w:color w:val="000000"/>
                <w:sz w:val="32"/>
              </w:rPr>
            </w:pPr>
          </w:p>
        </w:tc>
        <w:tc>
          <w:tcPr>
            <w:tcW w:w="2008" w:type="dxa"/>
            <w:noWrap/>
          </w:tcPr>
          <w:p>
            <w:pPr>
              <w:jc w:val="center"/>
              <w:rPr>
                <w:rFonts w:ascii="宋体" w:hAnsi="宋体" w:cs="宋体"/>
                <w:bCs/>
                <w:color w:val="000000"/>
                <w:sz w:val="32"/>
              </w:rPr>
            </w:pPr>
          </w:p>
        </w:tc>
        <w:tc>
          <w:tcPr>
            <w:tcW w:w="1312" w:type="dxa"/>
            <w:noWrap/>
          </w:tcPr>
          <w:p>
            <w:pPr>
              <w:jc w:val="center"/>
              <w:rPr>
                <w:rFonts w:ascii="宋体" w:hAnsi="宋体" w:cs="宋体"/>
                <w:bCs/>
                <w:color w:val="000000"/>
                <w:sz w:val="32"/>
              </w:rPr>
            </w:pPr>
          </w:p>
        </w:tc>
        <w:tc>
          <w:tcPr>
            <w:tcW w:w="1346" w:type="dxa"/>
            <w:noWrap/>
          </w:tcPr>
          <w:p>
            <w:pPr>
              <w:jc w:val="center"/>
              <w:rPr>
                <w:rFonts w:ascii="宋体" w:hAnsi="宋体" w:cs="宋体"/>
                <w:bCs/>
                <w:color w:val="000000"/>
                <w:sz w:val="32"/>
              </w:rPr>
            </w:pPr>
          </w:p>
        </w:tc>
        <w:tc>
          <w:tcPr>
            <w:tcW w:w="2048" w:type="dxa"/>
            <w:noWra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tcPr>
          <w:p>
            <w:pPr>
              <w:jc w:val="center"/>
              <w:rPr>
                <w:rFonts w:ascii="宋体" w:hAnsi="宋体" w:cs="宋体"/>
                <w:bCs/>
                <w:color w:val="000000"/>
                <w:sz w:val="32"/>
              </w:rPr>
            </w:pPr>
          </w:p>
        </w:tc>
        <w:tc>
          <w:tcPr>
            <w:tcW w:w="2008" w:type="dxa"/>
            <w:noWrap/>
          </w:tcPr>
          <w:p>
            <w:pPr>
              <w:jc w:val="center"/>
              <w:rPr>
                <w:rFonts w:ascii="宋体" w:hAnsi="宋体" w:cs="宋体"/>
                <w:bCs/>
                <w:color w:val="000000"/>
                <w:sz w:val="32"/>
              </w:rPr>
            </w:pPr>
          </w:p>
        </w:tc>
        <w:tc>
          <w:tcPr>
            <w:tcW w:w="1312" w:type="dxa"/>
            <w:noWrap/>
          </w:tcPr>
          <w:p>
            <w:pPr>
              <w:jc w:val="center"/>
              <w:rPr>
                <w:rFonts w:ascii="宋体" w:hAnsi="宋体" w:cs="宋体"/>
                <w:bCs/>
                <w:color w:val="000000"/>
                <w:sz w:val="32"/>
              </w:rPr>
            </w:pPr>
          </w:p>
        </w:tc>
        <w:tc>
          <w:tcPr>
            <w:tcW w:w="1346" w:type="dxa"/>
            <w:noWrap/>
          </w:tcPr>
          <w:p>
            <w:pPr>
              <w:jc w:val="center"/>
              <w:rPr>
                <w:rFonts w:ascii="宋体" w:hAnsi="宋体" w:cs="宋体"/>
                <w:bCs/>
                <w:color w:val="000000"/>
                <w:sz w:val="32"/>
              </w:rPr>
            </w:pPr>
          </w:p>
        </w:tc>
        <w:tc>
          <w:tcPr>
            <w:tcW w:w="2048" w:type="dxa"/>
            <w:noWrap/>
          </w:tcPr>
          <w:p>
            <w:pPr>
              <w:jc w:val="center"/>
              <w:rPr>
                <w:rFonts w:ascii="宋体" w:hAnsi="宋体" w:cs="宋体"/>
                <w:bCs/>
                <w:color w:val="000000"/>
                <w:sz w:val="32"/>
              </w:rPr>
            </w:pPr>
          </w:p>
        </w:tc>
      </w:tr>
    </w:tbl>
    <w:p>
      <w:pPr>
        <w:autoSpaceDE w:val="0"/>
        <w:autoSpaceDN w:val="0"/>
        <w:adjustRightInd w:val="0"/>
        <w:spacing w:line="360" w:lineRule="auto"/>
        <w:jc w:val="center"/>
        <w:rPr>
          <w:rFonts w:ascii="宋体" w:hAnsi="宋体" w:cs="宋体"/>
          <w:b/>
          <w:bCs/>
          <w:color w:val="000000"/>
          <w:kern w:val="0"/>
          <w:sz w:val="32"/>
          <w:szCs w:val="32"/>
          <w:lang w:val="zh-CN"/>
        </w:rPr>
      </w:pPr>
    </w:p>
    <w:p>
      <w:pPr>
        <w:snapToGrid w:val="0"/>
        <w:ind w:left="1806" w:hanging="1806" w:hangingChars="500"/>
        <w:rPr>
          <w:rFonts w:ascii="宋体" w:hAnsi="宋体" w:cs="宋体"/>
          <w:b/>
          <w:color w:val="000000"/>
          <w:spacing w:val="20"/>
          <w:sz w:val="32"/>
          <w:szCs w:val="32"/>
        </w:rPr>
      </w:pPr>
    </w:p>
    <w:p>
      <w:pPr>
        <w:autoSpaceDE w:val="0"/>
        <w:autoSpaceDN w:val="0"/>
        <w:adjustRightInd w:val="0"/>
        <w:spacing w:line="360" w:lineRule="auto"/>
        <w:rPr>
          <w:rFonts w:ascii="宋体" w:hAnsi="宋体" w:cs="宋体"/>
          <w:color w:val="000000"/>
          <w:sz w:val="28"/>
          <w:szCs w:val="28"/>
        </w:rPr>
      </w:pPr>
      <w:r>
        <w:rPr>
          <w:rFonts w:hint="eastAsia" w:ascii="宋体" w:hAnsi="宋体" w:cs="宋体"/>
          <w:color w:val="000000"/>
          <w:sz w:val="28"/>
          <w:szCs w:val="28"/>
          <w:lang w:val="zh-CN"/>
        </w:rPr>
        <w:t>响应人全权代表签字：</w:t>
      </w:r>
    </w:p>
    <w:p>
      <w:pPr>
        <w:autoSpaceDE w:val="0"/>
        <w:autoSpaceDN w:val="0"/>
        <w:adjustRightInd w:val="0"/>
        <w:spacing w:line="360" w:lineRule="auto"/>
        <w:rPr>
          <w:rFonts w:ascii="宋体" w:hAnsi="宋体" w:cs="宋体"/>
          <w:color w:val="000000"/>
          <w:sz w:val="28"/>
          <w:szCs w:val="28"/>
        </w:rPr>
      </w:pPr>
      <w:r>
        <w:rPr>
          <w:rFonts w:hint="eastAsia" w:ascii="宋体" w:hAnsi="宋体" w:cs="宋体"/>
          <w:color w:val="000000"/>
          <w:sz w:val="28"/>
          <w:szCs w:val="28"/>
          <w:lang w:val="zh-CN"/>
        </w:rPr>
        <w:t>响应人（盖章）：</w:t>
      </w:r>
    </w:p>
    <w:p>
      <w:pPr>
        <w:autoSpaceDE w:val="0"/>
        <w:autoSpaceDN w:val="0"/>
        <w:adjustRightInd w:val="0"/>
        <w:spacing w:line="360" w:lineRule="auto"/>
        <w:rPr>
          <w:rFonts w:ascii="宋体" w:hAnsi="宋体" w:cs="宋体"/>
          <w:color w:val="000000"/>
          <w:sz w:val="28"/>
          <w:szCs w:val="28"/>
        </w:rPr>
      </w:pPr>
      <w:r>
        <w:rPr>
          <w:rFonts w:hint="eastAsia" w:ascii="宋体" w:hAnsi="宋体" w:cs="宋体"/>
          <w:color w:val="000000"/>
          <w:sz w:val="28"/>
          <w:szCs w:val="28"/>
          <w:lang w:val="zh-CN"/>
        </w:rPr>
        <w:t>日期</w:t>
      </w:r>
      <w:r>
        <w:rPr>
          <w:rFonts w:hint="eastAsia" w:ascii="宋体" w:hAnsi="宋体" w:cs="宋体"/>
          <w:color w:val="000000"/>
          <w:sz w:val="28"/>
          <w:szCs w:val="28"/>
        </w:rPr>
        <w:t>：</w:t>
      </w:r>
      <w:r>
        <w:rPr>
          <w:rFonts w:hint="eastAsia" w:ascii="宋体" w:hAnsi="宋体" w:cs="宋体"/>
          <w:color w:val="000000"/>
          <w:sz w:val="28"/>
          <w:szCs w:val="28"/>
          <w:lang w:val="zh-CN"/>
        </w:rPr>
        <w:t>年月日</w:t>
      </w:r>
    </w:p>
    <w:p>
      <w:pPr>
        <w:autoSpaceDE w:val="0"/>
        <w:autoSpaceDN w:val="0"/>
        <w:adjustRightInd w:val="0"/>
        <w:spacing w:line="360" w:lineRule="auto"/>
        <w:jc w:val="left"/>
        <w:rPr>
          <w:rFonts w:ascii="宋体" w:hAnsi="宋体" w:cs="宋体"/>
          <w:b/>
          <w:color w:val="000000"/>
          <w:sz w:val="28"/>
          <w:szCs w:val="28"/>
          <w:lang w:val="zh-CN"/>
        </w:rPr>
      </w:pPr>
    </w:p>
    <w:p>
      <w:pPr>
        <w:autoSpaceDE w:val="0"/>
        <w:autoSpaceDN w:val="0"/>
        <w:adjustRightInd w:val="0"/>
        <w:spacing w:line="360" w:lineRule="auto"/>
        <w:jc w:val="left"/>
        <w:rPr>
          <w:rFonts w:ascii="宋体" w:hAnsi="宋体" w:cs="宋体"/>
          <w:b/>
          <w:color w:val="000000"/>
          <w:sz w:val="28"/>
          <w:szCs w:val="28"/>
          <w:lang w:val="zh-CN"/>
        </w:rPr>
      </w:pPr>
    </w:p>
    <w:p>
      <w:pPr>
        <w:autoSpaceDE w:val="0"/>
        <w:autoSpaceDN w:val="0"/>
        <w:adjustRightInd w:val="0"/>
        <w:spacing w:line="360" w:lineRule="auto"/>
        <w:jc w:val="left"/>
        <w:rPr>
          <w:rFonts w:ascii="宋体" w:hAnsi="宋体" w:cs="宋体"/>
          <w:b/>
          <w:color w:val="000000"/>
          <w:sz w:val="28"/>
          <w:szCs w:val="28"/>
          <w:lang w:val="zh-CN"/>
        </w:rPr>
      </w:pPr>
    </w:p>
    <w:p>
      <w:pPr>
        <w:pStyle w:val="19"/>
        <w:spacing w:line="360" w:lineRule="auto"/>
        <w:rPr>
          <w:rFonts w:hint="eastAsia" w:ascii="宋体" w:hAnsi="宋体" w:cs="宋体"/>
          <w:b/>
          <w:color w:val="000000"/>
          <w:sz w:val="28"/>
          <w:szCs w:val="28"/>
        </w:rPr>
      </w:pPr>
    </w:p>
    <w:p>
      <w:pPr>
        <w:pStyle w:val="19"/>
        <w:spacing w:line="360" w:lineRule="auto"/>
        <w:rPr>
          <w:rFonts w:hint="eastAsia" w:ascii="宋体" w:hAnsi="宋体" w:cs="宋体"/>
          <w:b/>
          <w:color w:val="000000"/>
          <w:sz w:val="28"/>
          <w:szCs w:val="28"/>
        </w:rPr>
      </w:pPr>
    </w:p>
    <w:p>
      <w:pPr>
        <w:pStyle w:val="19"/>
        <w:spacing w:line="360" w:lineRule="auto"/>
        <w:rPr>
          <w:rFonts w:ascii="宋体" w:hAnsi="宋体" w:cs="宋体"/>
          <w:sz w:val="28"/>
          <w:szCs w:val="28"/>
        </w:rPr>
      </w:pPr>
      <w:r>
        <w:rPr>
          <w:rFonts w:hint="eastAsia" w:ascii="宋体" w:hAnsi="宋体" w:cs="宋体"/>
          <w:b/>
          <w:color w:val="000000"/>
          <w:sz w:val="28"/>
          <w:szCs w:val="28"/>
        </w:rPr>
        <w:t>格式八：</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pStyle w:val="7"/>
        <w:spacing w:line="500" w:lineRule="exact"/>
        <w:jc w:val="center"/>
        <w:rPr>
          <w:rFonts w:hAnsi="宋体" w:cs="宋体"/>
          <w:sz w:val="28"/>
          <w:szCs w:val="28"/>
        </w:rPr>
      </w:pPr>
    </w:p>
    <w:p>
      <w:pPr>
        <w:pStyle w:val="7"/>
        <w:spacing w:line="500" w:lineRule="exact"/>
        <w:jc w:val="center"/>
        <w:rPr>
          <w:rFonts w:hAnsi="宋体" w:cs="宋体"/>
          <w:sz w:val="28"/>
          <w:szCs w:val="28"/>
        </w:rPr>
      </w:pPr>
    </w:p>
    <w:p>
      <w:pPr>
        <w:pStyle w:val="20"/>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20"/>
        <w:spacing w:line="500" w:lineRule="exact"/>
        <w:ind w:firstLine="551" w:firstLineChars="196"/>
        <w:rPr>
          <w:rFonts w:ascii="宋体" w:eastAsia="宋体" w:cs="宋体"/>
          <w:b/>
          <w:bCs/>
          <w:sz w:val="28"/>
        </w:rPr>
      </w:pPr>
      <w:r>
        <w:rPr>
          <w:rFonts w:hint="eastAsia" w:ascii="宋体" w:eastAsia="宋体" w:cs="宋体"/>
          <w:b/>
          <w:bCs/>
          <w:sz w:val="28"/>
        </w:rPr>
        <w:t xml:space="preserve">    2.服务类(软件类及其他服务类)项目采购填此声明函。</w:t>
      </w:r>
    </w:p>
    <w:p>
      <w:pPr>
        <w:widowControl/>
        <w:jc w:val="left"/>
        <w:rPr>
          <w:rFonts w:ascii="宋体" w:hAnsi="宋体"/>
          <w:b/>
          <w:sz w:val="28"/>
          <w:szCs w:val="28"/>
          <w:lang w:val="en-GB"/>
        </w:rPr>
      </w:pPr>
      <w:r>
        <w:rPr>
          <w:rFonts w:hint="eastAsia" w:ascii="宋体" w:hAnsi="宋体"/>
          <w:b/>
          <w:sz w:val="28"/>
          <w:szCs w:val="28"/>
          <w:lang w:val="en-GB"/>
        </w:rPr>
        <w:t>格式九：</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spacing w:val="6"/>
          <w:sz w:val="28"/>
          <w:szCs w:val="28"/>
        </w:rPr>
      </w:pPr>
      <w:r>
        <w:rPr>
          <w:rFonts w:ascii="宋体" w:hAnsi="宋体"/>
          <w:spacing w:val="6"/>
          <w:sz w:val="28"/>
          <w:szCs w:val="28"/>
        </w:rPr>
        <w:br w:type="page"/>
      </w:r>
    </w:p>
    <w:p>
      <w:pPr>
        <w:snapToGrid w:val="0"/>
        <w:spacing w:line="540" w:lineRule="exact"/>
        <w:rPr>
          <w:rFonts w:ascii="宋体" w:hAnsi="宋体"/>
          <w:b/>
          <w:spacing w:val="6"/>
          <w:sz w:val="32"/>
          <w:szCs w:val="32"/>
        </w:rPr>
      </w:pPr>
      <w:r>
        <w:rPr>
          <w:rFonts w:hint="eastAsia" w:ascii="宋体" w:hAnsi="宋体"/>
          <w:b/>
          <w:sz w:val="28"/>
          <w:szCs w:val="28"/>
          <w:lang w:val="en-GB"/>
        </w:rPr>
        <w:t>格式十：</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0"/>
        <w:spacing w:line="540" w:lineRule="exact"/>
        <w:ind w:firstLine="0" w:firstLineChars="0"/>
        <w:jc w:val="center"/>
        <w:rPr>
          <w:rFonts w:ascii="宋体" w:eastAsia="宋体"/>
          <w:sz w:val="28"/>
        </w:rPr>
      </w:pPr>
      <w:r>
        <w:rPr>
          <w:rFonts w:hint="eastAsia" w:ascii="宋体" w:eastAsia="宋体"/>
          <w:sz w:val="28"/>
        </w:rPr>
        <w:t xml:space="preserve">                                       日  期：</w:t>
      </w:r>
    </w:p>
    <w:p>
      <w:pPr>
        <w:pStyle w:val="19"/>
        <w:jc w:val="center"/>
        <w:rPr>
          <w:rFonts w:ascii="宋体" w:hAnsi="宋体"/>
          <w:sz w:val="28"/>
          <w:szCs w:val="28"/>
        </w:rPr>
      </w:pPr>
    </w:p>
    <w:p/>
    <w:sectPr>
      <w:headerReference r:id="rId3" w:type="default"/>
      <w:footerReference r:id="rId4" w:type="default"/>
      <w:pgSz w:w="11906" w:h="16838"/>
      <w:pgMar w:top="1418" w:right="1700"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cs="宋体"/>
      </w:rPr>
    </w:pPr>
    <w:r>
      <w:rPr>
        <w:rFonts w:hint="eastAsia" w:ascii="宋体" w:hAnsi="宋体" w:cs="宋体"/>
      </w:rPr>
      <w:t>第</w:t>
    </w:r>
    <w:r>
      <w:rPr>
        <w:rFonts w:hint="eastAsia" w:ascii="宋体" w:hAnsi="宋体" w:cs="宋体"/>
      </w:rPr>
      <w:fldChar w:fldCharType="begin"/>
    </w:r>
    <w:r>
      <w:rPr>
        <w:rFonts w:hint="eastAsia" w:ascii="宋体" w:hAnsi="宋体" w:cs="宋体"/>
      </w:rPr>
      <w:instrText xml:space="preserve">PAGE</w:instrText>
    </w:r>
    <w:r>
      <w:rPr>
        <w:rFonts w:hint="eastAsia" w:ascii="宋体" w:hAnsi="宋体" w:cs="宋体"/>
      </w:rPr>
      <w:fldChar w:fldCharType="separate"/>
    </w:r>
    <w:r>
      <w:rPr>
        <w:rFonts w:ascii="宋体" w:hAnsi="宋体" w:cs="宋体"/>
      </w:rPr>
      <w:t>23</w:t>
    </w:r>
    <w:r>
      <w:rPr>
        <w:rFonts w:hint="eastAsia" w:ascii="宋体" w:hAnsi="宋体" w:cs="宋体"/>
      </w:rPr>
      <w:fldChar w:fldCharType="end"/>
    </w:r>
    <w:r>
      <w:rPr>
        <w:rFonts w:hint="eastAsia" w:ascii="宋体" w:hAnsi="宋体" w:cs="宋体"/>
      </w:rPr>
      <w:t>页共</w:t>
    </w:r>
    <w:r>
      <w:rPr>
        <w:rFonts w:hint="eastAsia" w:ascii="宋体" w:hAnsi="宋体" w:cs="宋体"/>
      </w:rPr>
      <w:fldChar w:fldCharType="begin"/>
    </w:r>
    <w:r>
      <w:rPr>
        <w:rFonts w:hint="eastAsia" w:ascii="宋体" w:hAnsi="宋体" w:cs="宋体"/>
      </w:rPr>
      <w:instrText xml:space="preserve">NUMPAGES</w:instrText>
    </w:r>
    <w:r>
      <w:rPr>
        <w:rFonts w:hint="eastAsia" w:ascii="宋体" w:hAnsi="宋体" w:cs="宋体"/>
      </w:rPr>
      <w:fldChar w:fldCharType="separate"/>
    </w:r>
    <w:r>
      <w:rPr>
        <w:rFonts w:ascii="宋体" w:hAnsi="宋体" w:cs="宋体"/>
      </w:rPr>
      <w:t>30</w:t>
    </w:r>
    <w:r>
      <w:rPr>
        <w:rFonts w:hint="eastAsia" w:ascii="宋体" w:hAnsi="宋体" w:cs="宋体"/>
      </w:rPr>
      <w:fldChar w:fldCharType="end"/>
    </w:r>
    <w:r>
      <w:rPr>
        <w:rFonts w:hint="eastAsia" w:ascii="宋体" w:hAnsi="宋体" w:cs="宋体"/>
      </w:rPr>
      <w:t>页</w:t>
    </w: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highlight w:val="none"/>
      </w:rPr>
    </w:pPr>
    <w:r>
      <w:rPr>
        <w:rFonts w:hint="eastAsia" w:ascii="宋体" w:hAnsi="宋体"/>
      </w:rPr>
      <w:t xml:space="preserve">                                          项目编号：</w:t>
    </w:r>
    <w:r>
      <w:rPr>
        <w:rFonts w:hint="eastAsia" w:ascii="宋体" w:hAnsi="宋体"/>
        <w:highlight w:val="none"/>
      </w:rPr>
      <w:t>衢院招2021-47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40349"/>
    <w:multiLevelType w:val="singleLevel"/>
    <w:tmpl w:val="F0D40349"/>
    <w:lvl w:ilvl="0" w:tentative="0">
      <w:start w:val="1"/>
      <w:numFmt w:val="decimal"/>
      <w:suff w:val="space"/>
      <w:lvlText w:val="%1."/>
      <w:lvlJc w:val="left"/>
    </w:lvl>
  </w:abstractNum>
  <w:abstractNum w:abstractNumId="1">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6A139D"/>
    <w:rsid w:val="00001937"/>
    <w:rsid w:val="000032C3"/>
    <w:rsid w:val="00016F64"/>
    <w:rsid w:val="00035518"/>
    <w:rsid w:val="00036821"/>
    <w:rsid w:val="00081084"/>
    <w:rsid w:val="0008673C"/>
    <w:rsid w:val="00087D54"/>
    <w:rsid w:val="000C5F86"/>
    <w:rsid w:val="000F1A7F"/>
    <w:rsid w:val="0012657C"/>
    <w:rsid w:val="00133C96"/>
    <w:rsid w:val="00151319"/>
    <w:rsid w:val="00170D70"/>
    <w:rsid w:val="001B12C4"/>
    <w:rsid w:val="001D2D59"/>
    <w:rsid w:val="001E17E5"/>
    <w:rsid w:val="002258BF"/>
    <w:rsid w:val="002527AF"/>
    <w:rsid w:val="00274162"/>
    <w:rsid w:val="00276852"/>
    <w:rsid w:val="002D3379"/>
    <w:rsid w:val="002E70F9"/>
    <w:rsid w:val="0030063C"/>
    <w:rsid w:val="00302DCB"/>
    <w:rsid w:val="003059C9"/>
    <w:rsid w:val="00345D7A"/>
    <w:rsid w:val="00364398"/>
    <w:rsid w:val="00365039"/>
    <w:rsid w:val="003679EF"/>
    <w:rsid w:val="00375A31"/>
    <w:rsid w:val="003761BF"/>
    <w:rsid w:val="003A5CFC"/>
    <w:rsid w:val="003E5A86"/>
    <w:rsid w:val="00413043"/>
    <w:rsid w:val="00413CAE"/>
    <w:rsid w:val="004326F7"/>
    <w:rsid w:val="00444E7E"/>
    <w:rsid w:val="004538B3"/>
    <w:rsid w:val="00470F20"/>
    <w:rsid w:val="00477969"/>
    <w:rsid w:val="004846FC"/>
    <w:rsid w:val="004B7CCD"/>
    <w:rsid w:val="004E1A7E"/>
    <w:rsid w:val="004F0F14"/>
    <w:rsid w:val="004F2C7B"/>
    <w:rsid w:val="00514B9A"/>
    <w:rsid w:val="005601D4"/>
    <w:rsid w:val="0056797B"/>
    <w:rsid w:val="005B1DF5"/>
    <w:rsid w:val="005D741F"/>
    <w:rsid w:val="00642E02"/>
    <w:rsid w:val="0065408A"/>
    <w:rsid w:val="00686D10"/>
    <w:rsid w:val="006E6FEE"/>
    <w:rsid w:val="006F1ACF"/>
    <w:rsid w:val="00705A25"/>
    <w:rsid w:val="007149D0"/>
    <w:rsid w:val="00786526"/>
    <w:rsid w:val="007A1D95"/>
    <w:rsid w:val="007A7A54"/>
    <w:rsid w:val="0081340B"/>
    <w:rsid w:val="00814E3A"/>
    <w:rsid w:val="00832BA2"/>
    <w:rsid w:val="00856493"/>
    <w:rsid w:val="00856B55"/>
    <w:rsid w:val="008611C8"/>
    <w:rsid w:val="00864682"/>
    <w:rsid w:val="00876ECF"/>
    <w:rsid w:val="008C03A8"/>
    <w:rsid w:val="00925EB0"/>
    <w:rsid w:val="00935CB0"/>
    <w:rsid w:val="009640D1"/>
    <w:rsid w:val="00980E46"/>
    <w:rsid w:val="00990AAA"/>
    <w:rsid w:val="00995CEE"/>
    <w:rsid w:val="009A47BA"/>
    <w:rsid w:val="009B542F"/>
    <w:rsid w:val="009C1EFC"/>
    <w:rsid w:val="00A1083B"/>
    <w:rsid w:val="00A257EA"/>
    <w:rsid w:val="00A268AF"/>
    <w:rsid w:val="00A92C19"/>
    <w:rsid w:val="00AE7C65"/>
    <w:rsid w:val="00AF3397"/>
    <w:rsid w:val="00AF411C"/>
    <w:rsid w:val="00B44DE0"/>
    <w:rsid w:val="00B47483"/>
    <w:rsid w:val="00B919A8"/>
    <w:rsid w:val="00BB7F6E"/>
    <w:rsid w:val="00BC5317"/>
    <w:rsid w:val="00C258B7"/>
    <w:rsid w:val="00C34CD9"/>
    <w:rsid w:val="00C47351"/>
    <w:rsid w:val="00C53D7E"/>
    <w:rsid w:val="00C754C4"/>
    <w:rsid w:val="00CC3E86"/>
    <w:rsid w:val="00CE235B"/>
    <w:rsid w:val="00CF4B52"/>
    <w:rsid w:val="00D377CA"/>
    <w:rsid w:val="00D50CA1"/>
    <w:rsid w:val="00D82F7E"/>
    <w:rsid w:val="00D92D39"/>
    <w:rsid w:val="00DC4D7F"/>
    <w:rsid w:val="00DC71F3"/>
    <w:rsid w:val="00DD4EEC"/>
    <w:rsid w:val="00DE0364"/>
    <w:rsid w:val="00DF3169"/>
    <w:rsid w:val="00E1025A"/>
    <w:rsid w:val="00E14828"/>
    <w:rsid w:val="00E17611"/>
    <w:rsid w:val="00E40326"/>
    <w:rsid w:val="00E4427D"/>
    <w:rsid w:val="00EA475E"/>
    <w:rsid w:val="00EA666E"/>
    <w:rsid w:val="00EC2446"/>
    <w:rsid w:val="00F406F2"/>
    <w:rsid w:val="00F57EC0"/>
    <w:rsid w:val="00F96BF1"/>
    <w:rsid w:val="00FB3792"/>
    <w:rsid w:val="00FF27A4"/>
    <w:rsid w:val="0F3551BE"/>
    <w:rsid w:val="1F6A139D"/>
    <w:rsid w:val="23207025"/>
    <w:rsid w:val="235D64F8"/>
    <w:rsid w:val="260B261C"/>
    <w:rsid w:val="2C764751"/>
    <w:rsid w:val="31FC6BBE"/>
    <w:rsid w:val="32691376"/>
    <w:rsid w:val="3CDA10B6"/>
    <w:rsid w:val="3FC47877"/>
    <w:rsid w:val="40DB2B03"/>
    <w:rsid w:val="41820456"/>
    <w:rsid w:val="46D22864"/>
    <w:rsid w:val="561F25F0"/>
    <w:rsid w:val="62375D4F"/>
    <w:rsid w:val="720909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link w:val="24"/>
    <w:semiHidden/>
    <w:unhideWhenUsed/>
    <w:qFormat/>
    <w:uiPriority w:val="0"/>
    <w:pPr>
      <w:jc w:val="left"/>
    </w:pPr>
  </w:style>
  <w:style w:type="paragraph" w:styleId="6">
    <w:name w:val="Body Text Indent"/>
    <w:basedOn w:val="1"/>
    <w:qFormat/>
    <w:uiPriority w:val="0"/>
    <w:pPr>
      <w:ind w:left="420" w:leftChars="200"/>
    </w:pPr>
    <w:rPr>
      <w:rFonts w:ascii="Calibri" w:hAnsi="Calibri"/>
      <w:kern w:val="0"/>
      <w:sz w:val="20"/>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8">
    <w:name w:val="Balloon Text"/>
    <w:basedOn w:val="1"/>
    <w:link w:val="23"/>
    <w:qFormat/>
    <w:uiPriority w:val="0"/>
    <w:rPr>
      <w:sz w:val="18"/>
      <w:szCs w:val="18"/>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Message Header"/>
    <w:basedOn w:val="1"/>
    <w:next w:val="1"/>
    <w:qFormat/>
    <w:uiPriority w:val="0"/>
    <w:pPr>
      <w:ind w:left="500" w:leftChars="500" w:hanging="1080" w:hangingChars="500"/>
    </w:pPr>
    <w:rPr>
      <w:rFonts w:ascii="Arial" w:hAnsi="Arial"/>
      <w:sz w:val="24"/>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paragraph" w:styleId="14">
    <w:name w:val="annotation subject"/>
    <w:basedOn w:val="5"/>
    <w:next w:val="5"/>
    <w:link w:val="25"/>
    <w:semiHidden/>
    <w:unhideWhenUsed/>
    <w:qFormat/>
    <w:uiPriority w:val="0"/>
    <w:rPr>
      <w:b/>
      <w:bCs/>
    </w:rPr>
  </w:style>
  <w:style w:type="character" w:styleId="17">
    <w:name w:val="annotation reference"/>
    <w:basedOn w:val="16"/>
    <w:semiHidden/>
    <w:unhideWhenUsed/>
    <w:qFormat/>
    <w:uiPriority w:val="0"/>
    <w:rPr>
      <w:sz w:val="21"/>
      <w:szCs w:val="21"/>
    </w:rPr>
  </w:style>
  <w:style w:type="paragraph" w:customStyle="1" w:styleId="18">
    <w:name w:val="纯文本1"/>
    <w:basedOn w:val="1"/>
    <w:qFormat/>
    <w:uiPriority w:val="0"/>
    <w:rPr>
      <w:rFonts w:ascii="Calibri" w:hAnsi="Calibri" w:cs="黑体"/>
      <w:sz w:val="24"/>
      <w:szCs w:val="20"/>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1">
    <w:name w:val="List Paragraph"/>
    <w:basedOn w:val="1"/>
    <w:unhideWhenUsed/>
    <w:qFormat/>
    <w:uiPriority w:val="99"/>
    <w:pPr>
      <w:ind w:firstLine="420" w:firstLineChars="200"/>
    </w:pPr>
  </w:style>
  <w:style w:type="character" w:customStyle="1" w:styleId="22">
    <w:name w:val="标题 1 字符"/>
    <w:basedOn w:val="16"/>
    <w:link w:val="2"/>
    <w:qFormat/>
    <w:uiPriority w:val="0"/>
    <w:rPr>
      <w:rFonts w:ascii="Times New Roman" w:hAnsi="Times New Roman" w:eastAsia="宋体" w:cs="Times New Roman"/>
      <w:b/>
      <w:bCs/>
      <w:kern w:val="44"/>
      <w:sz w:val="44"/>
      <w:szCs w:val="44"/>
    </w:rPr>
  </w:style>
  <w:style w:type="character" w:customStyle="1" w:styleId="23">
    <w:name w:val="批注框文本 字符"/>
    <w:basedOn w:val="16"/>
    <w:link w:val="8"/>
    <w:qFormat/>
    <w:uiPriority w:val="0"/>
    <w:rPr>
      <w:rFonts w:ascii="Times New Roman" w:hAnsi="Times New Roman" w:eastAsia="宋体" w:cs="Times New Roman"/>
      <w:kern w:val="2"/>
      <w:sz w:val="18"/>
      <w:szCs w:val="18"/>
    </w:rPr>
  </w:style>
  <w:style w:type="character" w:customStyle="1" w:styleId="24">
    <w:name w:val="批注文字 字符"/>
    <w:basedOn w:val="16"/>
    <w:link w:val="5"/>
    <w:semiHidden/>
    <w:qFormat/>
    <w:uiPriority w:val="0"/>
    <w:rPr>
      <w:rFonts w:ascii="Times New Roman" w:hAnsi="Times New Roman" w:eastAsia="宋体" w:cs="Times New Roman"/>
      <w:kern w:val="2"/>
      <w:sz w:val="21"/>
      <w:szCs w:val="24"/>
    </w:rPr>
  </w:style>
  <w:style w:type="character" w:customStyle="1" w:styleId="25">
    <w:name w:val="批注主题 字符"/>
    <w:basedOn w:val="24"/>
    <w:link w:val="14"/>
    <w:semiHidden/>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30</Pages>
  <Words>2199</Words>
  <Characters>12536</Characters>
  <Lines>104</Lines>
  <Paragraphs>29</Paragraphs>
  <TotalTime>17</TotalTime>
  <ScaleCrop>false</ScaleCrop>
  <LinksUpToDate>false</LinksUpToDate>
  <CharactersWithSpaces>14706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2021-10-18T05:48:00Z</dcterms:created>
  <dc:creator>周建红</dc:creator>
  <cp:lastModifiedBy>Administrator</cp:lastModifiedBy>
  <dcterms:modified xsi:type="dcterms:W3CDTF">2021-10-20T07:51:38Z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FA6B3AD4573C439BAF03B04E3F86008E</vt:lpwstr>
  </property>
</Properties>
</file>