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both"/>
        <w:rPr>
          <w:rFonts w:hint="eastAsia" w:ascii="宋体" w:hAnsi="宋体" w:eastAsia="宋体" w:cs="宋体"/>
          <w:b/>
          <w:color w:val="000000"/>
          <w:spacing w:val="-11"/>
          <w:kern w:val="0"/>
          <w:sz w:val="44"/>
          <w:szCs w:val="44"/>
          <w:lang w:val="en-US" w:eastAsia="zh-CN"/>
        </w:rPr>
      </w:pPr>
    </w:p>
    <w:p>
      <w:pPr>
        <w:spacing w:line="360" w:lineRule="auto"/>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校园监控设施提升改造</w:t>
      </w:r>
      <w:r>
        <w:rPr>
          <w:rFonts w:hint="eastAsia" w:ascii="宋体" w:hAnsi="宋体" w:eastAsia="宋体" w:cs="宋体"/>
          <w:b/>
          <w:bCs/>
          <w:i w:val="0"/>
          <w:iCs w:val="0"/>
          <w:caps w:val="0"/>
          <w:color w:val="333333"/>
          <w:spacing w:val="0"/>
          <w:sz w:val="44"/>
          <w:szCs w:val="44"/>
          <w:shd w:val="clear" w:fill="FFFFFF"/>
          <w:lang w:val="en-US" w:eastAsia="zh-CN"/>
        </w:rPr>
        <w:t>项目</w:t>
      </w:r>
    </w:p>
    <w:p>
      <w:pPr>
        <w:spacing w:line="360" w:lineRule="auto"/>
        <w:jc w:val="center"/>
        <w:rPr>
          <w:rFonts w:ascii="宋体" w:hAnsi="宋体" w:cs="宋体"/>
          <w:sz w:val="72"/>
          <w:szCs w:val="72"/>
        </w:rPr>
      </w:pPr>
      <w:r>
        <w:rPr>
          <w:rFonts w:hint="eastAsia" w:ascii="宋体" w:hAnsi="宋体" w:cs="宋体"/>
          <w:b/>
          <w:sz w:val="28"/>
          <w:szCs w:val="28"/>
        </w:rPr>
        <w:t>（</w:t>
      </w:r>
      <w:r>
        <w:rPr>
          <w:rFonts w:hint="eastAsia" w:ascii="宋体" w:hAnsi="宋体" w:cs="宋体"/>
          <w:b/>
          <w:sz w:val="28"/>
          <w:szCs w:val="28"/>
          <w:lang w:val="en-US" w:eastAsia="zh-CN"/>
        </w:rPr>
        <w:t>保卫处</w:t>
      </w:r>
      <w:r>
        <w:rPr>
          <w:rFonts w:hint="eastAsia" w:ascii="宋体" w:hAnsi="宋体" w:cs="宋体"/>
          <w:b/>
          <w:sz w:val="28"/>
          <w:szCs w:val="28"/>
        </w:rPr>
        <w:t>）</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ind w:left="0" w:leftChars="0" w:firstLine="0" w:firstLineChars="0"/>
        <w:jc w:val="center"/>
        <w:rPr>
          <w:rFonts w:hint="eastAsia" w:ascii="宋体" w:hAnsi="宋体" w:cs="宋体"/>
          <w:b/>
          <w:bCs/>
          <w:sz w:val="36"/>
          <w:szCs w:val="36"/>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7</w:t>
      </w:r>
      <w:r>
        <w:rPr>
          <w:rFonts w:hint="eastAsia" w:ascii="宋体" w:hAnsi="宋体" w:cs="宋体"/>
          <w:b/>
          <w:bCs/>
          <w:color w:val="000000" w:themeColor="text1"/>
          <w:sz w:val="36"/>
          <w:szCs w:val="36"/>
          <w14:textFill>
            <w14:solidFill>
              <w14:schemeClr w14:val="tx1"/>
            </w14:solidFill>
          </w14:textFill>
        </w:rPr>
        <w:t>月</w:t>
      </w:r>
    </w:p>
    <w:p>
      <w:pPr>
        <w:pStyle w:val="13"/>
        <w:spacing w:line="360" w:lineRule="auto"/>
        <w:ind w:left="200" w:leftChars="100"/>
        <w:jc w:val="center"/>
        <w:rPr>
          <w:rFonts w:hint="eastAsia" w:ascii="宋体" w:hAnsi="宋体" w:cs="宋体"/>
          <w:b/>
          <w:bCs/>
          <w:sz w:val="36"/>
          <w:szCs w:val="36"/>
        </w:rPr>
      </w:pPr>
    </w:p>
    <w:p>
      <w:pPr>
        <w:pStyle w:val="13"/>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keepNext w:val="0"/>
        <w:keepLines w:val="0"/>
        <w:pageBreakBefore w:val="0"/>
        <w:widowControl/>
        <w:kinsoku/>
        <w:wordWrap/>
        <w:overflowPunct/>
        <w:topLinePunct w:val="0"/>
        <w:autoSpaceDE/>
        <w:autoSpaceDN/>
        <w:bidi w:val="0"/>
        <w:adjustRightInd w:val="0"/>
        <w:snapToGrid w:val="0"/>
        <w:spacing w:line="480" w:lineRule="auto"/>
        <w:ind w:firstLine="400" w:firstLineChars="200"/>
        <w:jc w:val="left"/>
        <w:textAlignment w:val="auto"/>
      </w:pPr>
    </w:p>
    <w:p>
      <w:pPr>
        <w:jc w:val="cente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bCs/>
          <w:color w:val="000000"/>
          <w:sz w:val="32"/>
          <w:szCs w:val="36"/>
        </w:rPr>
      </w:pPr>
      <w:r>
        <w:rPr>
          <w:bCs/>
          <w:color w:val="000000"/>
          <w:sz w:val="32"/>
          <w:szCs w:val="36"/>
        </w:rPr>
        <w:t>第二章  投标须知</w:t>
      </w:r>
      <w:r>
        <w:rPr>
          <w:color w:val="000000"/>
          <w:sz w:val="32"/>
        </w:rPr>
        <w:t>…………………………………………6</w:t>
      </w:r>
    </w:p>
    <w:p>
      <w:pPr>
        <w:jc w:val="center"/>
        <w:rPr>
          <w:bCs/>
          <w:color w:val="000000"/>
          <w:sz w:val="32"/>
        </w:rPr>
      </w:pPr>
    </w:p>
    <w:p>
      <w:pPr>
        <w:jc w:val="cente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7</w:t>
      </w:r>
    </w:p>
    <w:p>
      <w:pPr>
        <w:jc w:val="center"/>
        <w:rPr>
          <w:bCs/>
          <w:color w:val="000000"/>
          <w:sz w:val="32"/>
        </w:rPr>
      </w:pPr>
    </w:p>
    <w:p>
      <w:pPr>
        <w:jc w:val="cente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24</w:t>
      </w:r>
    </w:p>
    <w:p>
      <w:pPr>
        <w:jc w:val="center"/>
        <w:rPr>
          <w:bCs/>
          <w:color w:val="000000"/>
          <w:sz w:val="32"/>
        </w:rPr>
      </w:pPr>
    </w:p>
    <w:p>
      <w:pPr>
        <w:numPr>
          <w:ilvl w:val="0"/>
          <w:numId w:val="1"/>
        </w:numPr>
        <w:jc w:val="center"/>
        <w:rPr>
          <w:rFonts w:hint="eastAsia"/>
          <w:color w:val="000000"/>
          <w:sz w:val="32"/>
          <w:lang w:val="en-US" w:eastAsia="zh-CN"/>
        </w:rPr>
      </w:pPr>
      <w:r>
        <w:rPr>
          <w:bCs/>
          <w:color w:val="000000"/>
          <w:sz w:val="32"/>
        </w:rPr>
        <w:t xml:space="preserve"> 评标办法及开标程序</w:t>
      </w:r>
      <w:r>
        <w:rPr>
          <w:color w:val="000000"/>
          <w:sz w:val="32"/>
        </w:rPr>
        <w:t>……………………………</w:t>
      </w:r>
      <w:r>
        <w:rPr>
          <w:rFonts w:hint="eastAsia"/>
          <w:color w:val="000000"/>
          <w:sz w:val="32"/>
          <w:lang w:val="en-US" w:eastAsia="zh-CN"/>
        </w:rPr>
        <w:t>28</w:t>
      </w:r>
    </w:p>
    <w:p>
      <w:pPr>
        <w:jc w:val="center"/>
        <w:rPr>
          <w:bCs/>
          <w:color w:val="000000"/>
          <w:sz w:val="32"/>
        </w:rPr>
      </w:pPr>
    </w:p>
    <w:p>
      <w:pPr>
        <w:jc w:val="cente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outlineLvl w:val="0"/>
        <w:rPr>
          <w:rStyle w:val="28"/>
        </w:rPr>
      </w:pPr>
      <w:bookmarkStart w:id="0" w:name="_Toc13547"/>
      <w:bookmarkStart w:id="1" w:name="_Toc30707"/>
      <w:r>
        <w:rPr>
          <w:rStyle w:val="28"/>
          <w:rFonts w:hint="eastAsia"/>
        </w:rPr>
        <w:t>第一章 招标公告</w:t>
      </w:r>
      <w:bookmarkEnd w:id="0"/>
      <w:bookmarkEnd w:id="1"/>
    </w:p>
    <w:p>
      <w:pPr>
        <w:spacing w:line="360" w:lineRule="auto"/>
        <w:ind w:firstLine="480" w:firstLineChars="200"/>
        <w:jc w:val="both"/>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eastAsia="宋体" w:cs="宋体"/>
          <w:b w:val="0"/>
          <w:bCs w:val="0"/>
          <w:i w:val="0"/>
          <w:iCs w:val="0"/>
          <w:caps w:val="0"/>
          <w:color w:val="auto"/>
          <w:spacing w:val="0"/>
          <w:sz w:val="24"/>
          <w:szCs w:val="24"/>
          <w:shd w:val="clear" w:fill="auto"/>
        </w:rPr>
        <w:t>校园监控设施提升改造</w:t>
      </w:r>
      <w:r>
        <w:rPr>
          <w:rFonts w:hint="eastAsia" w:ascii="宋体" w:hAnsi="宋体" w:eastAsia="宋体" w:cs="宋体"/>
          <w:b w:val="0"/>
          <w:bCs w:val="0"/>
          <w:i w:val="0"/>
          <w:iCs w:val="0"/>
          <w:caps w:val="0"/>
          <w:color w:val="auto"/>
          <w:spacing w:val="0"/>
          <w:sz w:val="24"/>
          <w:szCs w:val="24"/>
          <w:shd w:val="clear" w:fill="auto"/>
          <w:lang w:val="en-US" w:eastAsia="zh-CN"/>
        </w:rPr>
        <w:t>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val="0"/>
          <w:sz w:val="24"/>
          <w:szCs w:val="24"/>
          <w:lang w:eastAsia="zh-CN"/>
        </w:rPr>
      </w:pPr>
      <w:r>
        <w:rPr>
          <w:rFonts w:hint="eastAsia" w:ascii="宋体" w:hAnsi="宋体" w:cs="宋体"/>
          <w:b/>
          <w:bCs/>
          <w:kern w:val="0"/>
          <w:sz w:val="24"/>
          <w:szCs w:val="24"/>
        </w:rPr>
        <w:t>一、项目名称：</w:t>
      </w:r>
      <w:r>
        <w:rPr>
          <w:rFonts w:hint="eastAsia" w:ascii="宋体" w:hAnsi="宋体" w:eastAsia="宋体" w:cs="宋体"/>
          <w:b/>
          <w:bCs/>
          <w:i w:val="0"/>
          <w:iCs w:val="0"/>
          <w:caps w:val="0"/>
          <w:color w:val="auto"/>
          <w:spacing w:val="0"/>
          <w:sz w:val="24"/>
          <w:szCs w:val="24"/>
          <w:shd w:val="clear" w:fill="auto"/>
        </w:rPr>
        <w:t>校园监控设施提升改造</w:t>
      </w:r>
      <w:r>
        <w:rPr>
          <w:rFonts w:hint="eastAsia" w:ascii="宋体" w:hAnsi="宋体" w:eastAsia="宋体" w:cs="宋体"/>
          <w:b/>
          <w:bCs/>
          <w:i w:val="0"/>
          <w:iCs w:val="0"/>
          <w:caps w:val="0"/>
          <w:color w:val="auto"/>
          <w:spacing w:val="0"/>
          <w:sz w:val="24"/>
          <w:szCs w:val="24"/>
          <w:shd w:val="clear" w:fill="auto"/>
          <w:lang w:val="en-US" w:eastAsia="zh-CN"/>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w:t>
      </w:r>
      <w:r>
        <w:rPr>
          <w:rFonts w:hint="eastAsia" w:ascii="宋体" w:hAnsi="宋体" w:cs="宋体"/>
          <w:b/>
          <w:bCs/>
          <w:kern w:val="0"/>
          <w:sz w:val="24"/>
          <w:szCs w:val="24"/>
          <w:lang w:val="en-US" w:eastAsia="zh-CN"/>
        </w:rPr>
        <w:t>4</w:t>
      </w:r>
      <w:r>
        <w:rPr>
          <w:rFonts w:hint="eastAsia" w:ascii="宋体" w:hAnsi="宋体" w:cs="宋体"/>
          <w:b/>
          <w:bCs/>
          <w:kern w:val="0"/>
          <w:sz w:val="24"/>
          <w:szCs w:val="24"/>
        </w:rPr>
        <w:t>-</w:t>
      </w:r>
      <w:r>
        <w:rPr>
          <w:rFonts w:hint="eastAsia" w:ascii="宋体" w:hAnsi="宋体" w:cs="宋体"/>
          <w:b/>
          <w:bCs/>
          <w:kern w:val="0"/>
          <w:sz w:val="24"/>
          <w:szCs w:val="24"/>
          <w:lang w:val="en-US" w:eastAsia="zh-CN"/>
        </w:rPr>
        <w:t>13</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8"/>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Theme="majorEastAsia" w:hAnsiTheme="majorEastAsia" w:eastAsiaTheme="majorEastAsia" w:cstheme="majorEastAsia"/>
                <w:color w:val="000000"/>
                <w:kern w:val="0"/>
                <w:sz w:val="24"/>
                <w:lang w:eastAsia="zh-CN"/>
              </w:rPr>
            </w:pPr>
            <w:r>
              <w:rPr>
                <w:rFonts w:hint="eastAsia" w:ascii="宋体" w:hAnsi="宋体" w:eastAsia="宋体" w:cs="宋体"/>
                <w:sz w:val="24"/>
                <w:szCs w:val="24"/>
                <w:lang w:val="en-US" w:eastAsia="zh-CN"/>
              </w:rPr>
              <w:t>校园监控设备</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Theme="majorEastAsia" w:hAnsiTheme="majorEastAsia" w:eastAsiaTheme="majorEastAsia" w:cstheme="majorEastAsia"/>
                <w:kern w:val="0"/>
                <w:sz w:val="24"/>
                <w:lang w:eastAsia="zh-CN"/>
              </w:rPr>
            </w:pPr>
            <w:bookmarkStart w:id="2" w:name="B12_简要技术要求、用途"/>
            <w:bookmarkEnd w:id="2"/>
            <w:r>
              <w:rPr>
                <w:rFonts w:hint="eastAsia" w:ascii="宋体" w:hAnsi="宋体" w:cs="宋体"/>
                <w:color w:val="000000" w:themeColor="text1"/>
                <w:kern w:val="0"/>
                <w:sz w:val="24"/>
                <w:highlight w:val="none"/>
                <w:lang w:val="en-US" w:eastAsia="zh-CN"/>
                <w14:textFill>
                  <w14:solidFill>
                    <w14:schemeClr w14:val="tx1"/>
                  </w14:solidFill>
                </w14:textFill>
              </w:rPr>
              <w:t>49.6</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7"/>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cs="宋体"/>
          <w:b/>
          <w:sz w:val="24"/>
          <w:szCs w:val="24"/>
          <w:lang w:val="en-US" w:eastAsia="zh-CN"/>
        </w:rPr>
      </w:pPr>
      <w:r>
        <w:rPr>
          <w:rFonts w:hint="eastAsia" w:ascii="宋体" w:hAnsi="宋体" w:eastAsia="宋体" w:cs="宋体"/>
          <w:b/>
          <w:sz w:val="24"/>
          <w:szCs w:val="24"/>
        </w:rPr>
        <w:t>六、现场勘察时间：</w:t>
      </w:r>
      <w:r>
        <w:rPr>
          <w:rFonts w:hint="eastAsia" w:ascii="宋体" w:hAnsi="宋体" w:eastAsia="宋体" w:cs="宋体"/>
          <w:b/>
          <w:color w:val="auto"/>
          <w:sz w:val="24"/>
          <w:szCs w:val="24"/>
        </w:rPr>
        <w:t>20</w:t>
      </w:r>
      <w:r>
        <w:rPr>
          <w:rFonts w:hint="eastAsia" w:ascii="宋体" w:hAnsi="宋体" w:cs="宋体"/>
          <w:b/>
          <w:color w:val="auto"/>
          <w:sz w:val="24"/>
          <w:szCs w:val="24"/>
          <w:lang w:val="en-US" w:eastAsia="zh-CN"/>
        </w:rPr>
        <w:t>24</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11至12日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上班时间</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，其他时间由投标人自行勘察，招标人可以提供必要的协助和咨询；</w:t>
      </w:r>
      <w:r>
        <w:rPr>
          <w:rFonts w:hint="eastAsia" w:ascii="宋体" w:hAnsi="宋体" w:eastAsia="宋体" w:cs="宋体"/>
          <w:b/>
          <w:color w:val="auto"/>
          <w:sz w:val="24"/>
          <w:szCs w:val="24"/>
        </w:rPr>
        <w:t>联系人：</w:t>
      </w:r>
      <w:r>
        <w:rPr>
          <w:rFonts w:hint="eastAsia" w:ascii="宋体" w:hAnsi="宋体" w:cs="宋体"/>
          <w:b/>
          <w:color w:val="auto"/>
          <w:sz w:val="24"/>
          <w:szCs w:val="24"/>
          <w:lang w:val="en-US" w:eastAsia="zh-CN"/>
        </w:rPr>
        <w:t>周</w:t>
      </w:r>
      <w:r>
        <w:rPr>
          <w:rFonts w:hint="eastAsia" w:ascii="宋体" w:hAnsi="宋体" w:eastAsia="宋体" w:cs="宋体"/>
          <w:b/>
          <w:color w:val="auto"/>
          <w:sz w:val="24"/>
          <w:szCs w:val="24"/>
        </w:rPr>
        <w:t>老师，电话：</w:t>
      </w:r>
      <w:r>
        <w:rPr>
          <w:rFonts w:hint="eastAsia" w:ascii="宋体" w:hAnsi="宋体" w:cs="宋体"/>
          <w:b/>
          <w:color w:val="auto"/>
          <w:sz w:val="24"/>
          <w:szCs w:val="24"/>
          <w:lang w:val="en-US" w:eastAsia="zh-CN"/>
        </w:rPr>
        <w:t>13819004807。</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、递交投标文件截止及开标时间</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w:t>
      </w:r>
      <w:r>
        <w:rPr>
          <w:rFonts w:hint="eastAsia"/>
          <w:b/>
          <w:bCs/>
          <w:color w:val="000000"/>
          <w:lang w:val="en-US" w:eastAsia="zh-CN"/>
        </w:rPr>
        <w:t>4</w:t>
      </w:r>
      <w:r>
        <w:rPr>
          <w:rFonts w:hint="eastAsia"/>
          <w:b/>
          <w:bCs/>
          <w:color w:val="000000"/>
          <w:kern w:val="2"/>
        </w:rPr>
        <w:t>年</w:t>
      </w:r>
      <w:r>
        <w:rPr>
          <w:rFonts w:hint="eastAsia"/>
          <w:b/>
          <w:bCs/>
          <w:color w:val="000000"/>
          <w:kern w:val="2"/>
          <w:lang w:val="en-US" w:eastAsia="zh-CN"/>
        </w:rPr>
        <w:t>7</w:t>
      </w:r>
      <w:r>
        <w:rPr>
          <w:rFonts w:hint="eastAsia"/>
          <w:b/>
          <w:bCs/>
          <w:color w:val="000000"/>
          <w:kern w:val="2"/>
        </w:rPr>
        <w:t>月</w:t>
      </w:r>
      <w:r>
        <w:rPr>
          <w:rFonts w:hint="eastAsia"/>
          <w:b/>
          <w:bCs/>
          <w:color w:val="000000"/>
          <w:kern w:val="2"/>
          <w:lang w:val="en-US" w:eastAsia="zh-CN"/>
        </w:rPr>
        <w:t>26</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八</w:t>
      </w:r>
      <w:r>
        <w:rPr>
          <w:rFonts w:hint="eastAsia"/>
          <w:b/>
          <w:bCs/>
          <w:color w:val="000000"/>
        </w:rPr>
        <w:t>、递交投标文件及开标地点</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九</w:t>
      </w:r>
      <w:r>
        <w:rPr>
          <w:rFonts w:hint="eastAsia"/>
          <w:b/>
          <w:bCs/>
          <w:color w:val="000000"/>
        </w:rPr>
        <w:t>、投标保证金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lang w:val="en-US" w:eastAsia="zh-CN"/>
        </w:rPr>
        <w:t>十</w:t>
      </w:r>
      <w:r>
        <w:rPr>
          <w:rFonts w:hint="eastAsia" w:ascii="宋体" w:hAnsi="宋体" w:cs="宋体"/>
          <w:b/>
          <w:kern w:val="0"/>
          <w:sz w:val="24"/>
          <w:szCs w:val="24"/>
        </w:rPr>
        <w:t>、答疑与澄清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w:t>
      </w:r>
      <w:r>
        <w:rPr>
          <w:rFonts w:hint="eastAsia" w:ascii="宋体" w:hAnsi="宋体" w:cs="宋体"/>
          <w:b/>
          <w:bCs/>
          <w:color w:val="000000"/>
          <w:kern w:val="0"/>
          <w:sz w:val="24"/>
          <w:szCs w:val="24"/>
          <w:lang w:val="en-US" w:eastAsia="zh-CN"/>
        </w:rPr>
        <w:t>一</w:t>
      </w:r>
      <w:r>
        <w:rPr>
          <w:rFonts w:hint="eastAsia" w:ascii="宋体" w:hAnsi="宋体" w:cs="宋体"/>
          <w:b/>
          <w:bCs/>
          <w:color w:val="000000"/>
          <w:kern w:val="0"/>
          <w:sz w:val="24"/>
          <w:szCs w:val="24"/>
        </w:rPr>
        <w:t>、其他事项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cs="宋体"/>
          <w:b/>
          <w:bCs/>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rPr>
          <w:rFonts w:ascii="宋体" w:hAnsi="宋体"/>
          <w:b/>
          <w:bCs/>
          <w:sz w:val="24"/>
        </w:rPr>
        <w:t>http</w:t>
      </w:r>
      <w:r>
        <w:rPr>
          <w:rFonts w:hint="eastAsia" w:ascii="宋体" w:hAnsi="宋体"/>
          <w:b/>
          <w:bCs/>
          <w:sz w:val="24"/>
          <w:lang w:val="en-US" w:eastAsia="zh-CN"/>
        </w:rPr>
        <w:t>s</w:t>
      </w:r>
      <w:r>
        <w:rPr>
          <w:rFonts w:ascii="宋体" w:hAnsi="宋体"/>
          <w:b/>
          <w:bCs/>
          <w:sz w:val="24"/>
        </w:rPr>
        <w:t>://zfcg.czt.zj.gov.cn/</w:t>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w:t>
      </w:r>
      <w:r>
        <w:rPr>
          <w:rFonts w:hint="eastAsia" w:ascii="宋体" w:hAnsi="宋体" w:cs="宋体"/>
          <w:b/>
          <w:bCs/>
          <w:kern w:val="0"/>
          <w:sz w:val="24"/>
          <w:szCs w:val="24"/>
          <w:lang w:val="en-US" w:eastAsia="zh-CN"/>
        </w:rPr>
        <w:t>s</w:t>
      </w:r>
      <w:r>
        <w:rPr>
          <w:rFonts w:hint="eastAsia" w:ascii="宋体" w:hAnsi="宋体" w:cs="宋体"/>
          <w:b/>
          <w:bCs/>
          <w:kern w:val="0"/>
          <w:sz w:val="24"/>
          <w:szCs w:val="24"/>
        </w:rPr>
        <w:t>://xxgk.qzc.edu.cn）；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w:t>
      </w:r>
      <w:r>
        <w:rPr>
          <w:rFonts w:hint="eastAsia" w:ascii="宋体" w:hAnsi="宋体" w:cs="宋体"/>
          <w:b/>
          <w:sz w:val="24"/>
          <w:szCs w:val="24"/>
          <w:lang w:val="en-US" w:eastAsia="zh-CN"/>
        </w:rPr>
        <w:t>s</w:t>
      </w:r>
      <w:r>
        <w:rPr>
          <w:rFonts w:hint="eastAsia" w:ascii="宋体" w:hAnsi="宋体" w:cs="宋体"/>
          <w:b/>
          <w:sz w:val="24"/>
          <w:szCs w:val="24"/>
        </w:rPr>
        <w:t>://zbcg.qzc.edu.cn）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、本招标文件由</w:t>
      </w:r>
      <w:r>
        <w:rPr>
          <w:rFonts w:hint="eastAsia" w:ascii="宋体" w:hAnsi="宋体" w:eastAsia="宋体" w:cs="宋体"/>
          <w:b/>
          <w:bCs/>
          <w:sz w:val="24"/>
          <w:szCs w:val="24"/>
        </w:rPr>
        <w:t>衢州学院实验室与资产管理处</w:t>
      </w:r>
      <w:r>
        <w:rPr>
          <w:rFonts w:hint="eastAsia" w:ascii="宋体" w:hAnsi="宋体" w:cs="宋体"/>
          <w:b/>
          <w:bCs/>
          <w:sz w:val="24"/>
          <w:szCs w:val="24"/>
        </w:rPr>
        <w:t>、</w:t>
      </w:r>
      <w:r>
        <w:rPr>
          <w:rFonts w:hint="eastAsia" w:ascii="宋体" w:hAnsi="宋体" w:cs="宋体"/>
          <w:b/>
          <w:bCs/>
          <w:sz w:val="24"/>
          <w:szCs w:val="24"/>
          <w:lang w:val="en-US" w:eastAsia="zh-CN"/>
        </w:rPr>
        <w:t>保卫处负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周</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0570-8026582，13819004807</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w:t>
      </w:r>
      <w:r>
        <w:rPr>
          <w:rFonts w:hint="eastAsia" w:ascii="宋体" w:hAnsi="宋体" w:cs="宋体"/>
          <w:bCs/>
          <w:sz w:val="24"/>
          <w:szCs w:val="24"/>
          <w:lang w:val="en-US" w:eastAsia="zh-CN"/>
        </w:rPr>
        <w:t>4</w:t>
      </w:r>
      <w:r>
        <w:rPr>
          <w:rFonts w:hint="eastAsia" w:ascii="宋体" w:hAnsi="宋体" w:cs="宋体"/>
          <w:bCs/>
          <w:sz w:val="24"/>
          <w:szCs w:val="24"/>
        </w:rPr>
        <w:t>年</w:t>
      </w:r>
      <w:r>
        <w:rPr>
          <w:rFonts w:hint="eastAsia" w:ascii="宋体" w:hAnsi="宋体" w:cs="宋体"/>
          <w:bCs/>
          <w:sz w:val="24"/>
          <w:szCs w:val="24"/>
          <w:lang w:val="en-US" w:eastAsia="zh-CN"/>
        </w:rPr>
        <w:t>7</w:t>
      </w:r>
      <w:r>
        <w:rPr>
          <w:rFonts w:hint="eastAsia" w:ascii="宋体" w:hAnsi="宋体" w:cs="宋体"/>
          <w:bCs/>
          <w:sz w:val="24"/>
          <w:szCs w:val="24"/>
        </w:rPr>
        <w:t>月</w:t>
      </w:r>
      <w:r>
        <w:rPr>
          <w:rFonts w:hint="eastAsia" w:ascii="宋体" w:hAnsi="宋体" w:cs="宋体"/>
          <w:bCs/>
          <w:sz w:val="24"/>
          <w:szCs w:val="24"/>
          <w:lang w:val="en-US" w:eastAsia="zh-CN"/>
        </w:rPr>
        <w:t>5</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hint="eastAsia" w:ascii="宋体" w:hAnsi="宋体" w:cs="宋体"/>
          <w:b/>
          <w:bCs/>
          <w:sz w:val="32"/>
        </w:rPr>
      </w:pPr>
    </w:p>
    <w:p>
      <w:pPr>
        <w:spacing w:line="360" w:lineRule="auto"/>
        <w:jc w:val="center"/>
        <w:outlineLvl w:val="0"/>
        <w:rPr>
          <w:rStyle w:val="28"/>
          <w:rFonts w:hint="eastAsia" w:asciiTheme="minorHAnsi" w:hAnsiTheme="minorHAnsi" w:cstheme="minorBidi"/>
        </w:rPr>
      </w:pPr>
      <w:bookmarkStart w:id="3" w:name="_Toc17130"/>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bookmarkStart w:id="4" w:name="_Toc15802"/>
      <w:r>
        <w:rPr>
          <w:rStyle w:val="28"/>
          <w:rFonts w:hint="eastAsia" w:asciiTheme="minorHAnsi" w:hAnsiTheme="minorHAnsi" w:cstheme="minorBidi"/>
        </w:rPr>
        <w:t>第二章   投标须知</w:t>
      </w:r>
      <w:bookmarkEnd w:id="3"/>
      <w:bookmarkEnd w:id="4"/>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宋体" w:hAnsi="宋体" w:eastAsia="宋体" w:cs="宋体"/>
          <w:bCs/>
          <w:sz w:val="24"/>
          <w:szCs w:val="24"/>
        </w:rPr>
        <w:t>15345707715</w:t>
      </w:r>
      <w:r>
        <w:rPr>
          <w:rFonts w:hint="eastAsia" w:ascii="宋体" w:hAnsi="宋体" w:cs="宋体"/>
          <w:sz w:val="24"/>
          <w:szCs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w:t>
      </w:r>
      <w:r>
        <w:rPr>
          <w:rFonts w:hint="eastAsia" w:ascii="宋体" w:hAnsi="宋体" w:cs="宋体"/>
          <w:sz w:val="24"/>
          <w:szCs w:val="24"/>
          <w:lang w:val="en-US" w:eastAsia="zh-CN"/>
        </w:rPr>
        <w:t>黄女士</w:t>
      </w:r>
      <w:r>
        <w:rPr>
          <w:rFonts w:hint="eastAsia" w:ascii="宋体" w:hAnsi="宋体" w:cs="宋体"/>
          <w:sz w:val="24"/>
          <w:szCs w:val="24"/>
        </w:rPr>
        <w:t>；联系电话</w:t>
      </w:r>
      <w:r>
        <w:rPr>
          <w:rFonts w:hint="eastAsia" w:ascii="宋体" w:hAnsi="宋体" w:cs="宋体"/>
          <w:sz w:val="24"/>
          <w:szCs w:val="24"/>
          <w:lang w:eastAsia="zh-CN"/>
        </w:rPr>
        <w:t>：</w:t>
      </w:r>
      <w:r>
        <w:rPr>
          <w:rFonts w:hint="eastAsia" w:ascii="宋体" w:hAnsi="宋体" w:cs="宋体"/>
          <w:kern w:val="0"/>
          <w:sz w:val="24"/>
          <w:lang w:val="en-US" w:eastAsia="zh-CN"/>
        </w:rPr>
        <w:t>19957000570</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质疑、投诉应当采用书面形式。质疑书、投诉书均应明确阐述招标过程或中标结果使自己权益受到损害的实质性内容，提供相关事实、依据和证据及其来源或线索，便于有关单位调查、答复和处理。</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b/>
          <w:bCs/>
          <w:color w:val="FF0000"/>
          <w:sz w:val="24"/>
          <w:highlight w:val="yellow"/>
        </w:rPr>
      </w:pPr>
      <w:r>
        <w:rPr>
          <w:rFonts w:hint="eastAsia" w:ascii="宋体" w:hAnsi="宋体" w:cs="宋体"/>
          <w:b/>
          <w:bCs/>
          <w:color w:val="FF0000"/>
          <w:sz w:val="24"/>
          <w:highlight w:val="yellow"/>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1"/>
        <w:gridCol w:w="165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650"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053"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650" w:type="dxa"/>
            <w:vAlign w:val="center"/>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格式十四</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hint="default" w:ascii="宋体" w:hAnsi="宋体" w:cs="宋体"/>
                <w:sz w:val="24"/>
                <w:szCs w:val="24"/>
                <w:lang w:val="en-US"/>
              </w:rPr>
            </w:pPr>
            <w:r>
              <w:rPr>
                <w:rFonts w:hint="eastAsia" w:ascii="宋体" w:hAnsi="宋体" w:cs="仿宋_GB2312"/>
                <w:color w:val="000000"/>
                <w:sz w:val="24"/>
                <w:lang w:val="en-US" w:eastAsia="zh-CN"/>
              </w:rPr>
              <w:t>格式十六</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7"/>
        <w:gridCol w:w="164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67"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64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050"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67"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49"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hint="eastAsia" w:ascii="宋体" w:hAnsi="宋体" w:eastAsia="宋体" w:cs="宋体"/>
                <w:color w:val="000000"/>
                <w:kern w:val="2"/>
                <w:sz w:val="24"/>
                <w:lang w:val="en-US" w:eastAsia="zh-CN" w:bidi="ar-SA"/>
              </w:rPr>
            </w:pPr>
            <w:r>
              <w:rPr>
                <w:rFonts w:hint="eastAsia" w:ascii="宋体" w:hAnsi="宋体" w:cs="宋体"/>
                <w:color w:val="000000"/>
                <w:sz w:val="24"/>
              </w:rPr>
              <w:t>2.详细的产品清单及货物简要说明一览表（注明品牌型号及具体配置及产地）</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tabs>
                <w:tab w:val="left" w:pos="360"/>
              </w:tabs>
              <w:autoSpaceDE w:val="0"/>
              <w:autoSpaceDN w:val="0"/>
              <w:adjustRightInd w:val="0"/>
              <w:spacing w:line="380" w:lineRule="exact"/>
              <w:rPr>
                <w:rFonts w:hint="eastAsia" w:ascii="宋体" w:hAnsi="宋体" w:eastAsia="宋体" w:cs="宋体"/>
                <w:color w:val="000000"/>
                <w:kern w:val="2"/>
                <w:sz w:val="24"/>
                <w:lang w:val="en-US" w:eastAsia="zh-CN" w:bidi="ar-SA"/>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649"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格式八</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格式九</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.拟投入本项目人员情况。</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7.培训方案</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w:t>
            </w:r>
            <w:r>
              <w:rPr>
                <w:rFonts w:hint="eastAsia" w:ascii="宋体" w:hAnsi="宋体" w:cs="宋体"/>
                <w:bCs/>
                <w:color w:val="FF0000"/>
                <w:kern w:val="0"/>
                <w:sz w:val="24"/>
                <w:szCs w:val="24"/>
                <w:lang w:val="en-US" w:eastAsia="zh-CN"/>
              </w:rPr>
              <w:t>21</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w:t>
            </w:r>
            <w:r>
              <w:rPr>
                <w:rFonts w:hint="eastAsia" w:ascii="宋体" w:hAnsi="宋体" w:cs="宋体"/>
                <w:color w:val="000000"/>
                <w:sz w:val="24"/>
                <w:szCs w:val="24"/>
                <w:lang w:val="en-US" w:eastAsia="zh-CN"/>
              </w:rPr>
              <w:t>十</w:t>
            </w: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80" w:lineRule="exact"/>
              <w:rPr>
                <w:rFonts w:hint="eastAsia" w:ascii="宋体" w:hAnsi="宋体" w:eastAsia="宋体" w:cs="宋体"/>
                <w:color w:val="000000"/>
                <w:kern w:val="0"/>
                <w:sz w:val="24"/>
                <w:lang w:val="en-US" w:eastAsia="zh-CN" w:bidi="ar-SA"/>
              </w:rPr>
            </w:pPr>
            <w:r>
              <w:rPr>
                <w:rFonts w:hint="eastAsia" w:ascii="宋体" w:hAnsi="宋体" w:cs="宋体"/>
                <w:color w:val="000000"/>
                <w:sz w:val="24"/>
              </w:rPr>
              <w:t>9.行业测评资料及用户使用情况反馈</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60" w:lineRule="auto"/>
              <w:rPr>
                <w:rFonts w:ascii="宋体" w:hAnsi="宋体" w:eastAsia="宋体" w:cs="宋体"/>
                <w:color w:val="000000"/>
                <w:kern w:val="2"/>
                <w:sz w:val="24"/>
                <w:lang w:val="en-US" w:eastAsia="zh-CN" w:bidi="ar-SA"/>
              </w:rPr>
            </w:pPr>
            <w:r>
              <w:rPr>
                <w:rFonts w:hint="eastAsia" w:ascii="宋体" w:hAnsi="宋体" w:cs="宋体"/>
                <w:color w:val="000000"/>
                <w:sz w:val="24"/>
              </w:rPr>
              <w:t>10.投标人认为有必要提供的其它资料</w:t>
            </w:r>
          </w:p>
        </w:tc>
        <w:tc>
          <w:tcPr>
            <w:tcW w:w="1649" w:type="dxa"/>
            <w:vAlign w:val="center"/>
          </w:tcPr>
          <w:p>
            <w:pPr>
              <w:autoSpaceDE w:val="0"/>
              <w:autoSpaceDN w:val="0"/>
              <w:adjustRightInd w:val="0"/>
              <w:spacing w:line="360" w:lineRule="auto"/>
              <w:jc w:val="center"/>
              <w:rPr>
                <w:rFonts w:ascii="宋体" w:hAnsi="宋体" w:eastAsia="宋体" w:cs="宋体"/>
                <w:color w:val="000000"/>
                <w:kern w:val="2"/>
                <w:sz w:val="24"/>
                <w:lang w:val="en-US" w:eastAsia="zh-CN" w:bidi="ar-SA"/>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2-1</w:t>
            </w:r>
            <w:r>
              <w:rPr>
                <w:rFonts w:hint="eastAsia" w:ascii="宋体" w:hAnsi="宋体" w:cs="宋体"/>
                <w:color w:val="000000"/>
                <w:sz w:val="24"/>
                <w:lang w:val="en-US" w:eastAsia="zh-CN"/>
              </w:rPr>
              <w:t>0</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275"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六</w:t>
            </w:r>
          </w:p>
        </w:tc>
        <w:tc>
          <w:tcPr>
            <w:tcW w:w="121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七</w:t>
            </w:r>
          </w:p>
        </w:tc>
        <w:tc>
          <w:tcPr>
            <w:tcW w:w="12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jc w:val="left"/>
              <w:rPr>
                <w:rFonts w:ascii="宋体" w:hAnsi="宋体" w:cs="宋体"/>
                <w:sz w:val="24"/>
              </w:rPr>
            </w:pPr>
            <w:r>
              <w:rPr>
                <w:rFonts w:hint="eastAsia" w:ascii="宋体" w:hAnsi="宋体" w:eastAsia="宋体" w:cs="宋体"/>
                <w:sz w:val="24"/>
                <w:highlight w:val="yellow"/>
              </w:rPr>
              <w:t>3</w:t>
            </w:r>
            <w:r>
              <w:rPr>
                <w:rFonts w:hint="eastAsia" w:ascii="宋体" w:hAnsi="宋体" w:eastAsia="宋体" w:cs="宋体"/>
                <w:sz w:val="24"/>
                <w:highlight w:val="yellow"/>
                <w:lang w:val="en-US" w:eastAsia="zh-CN"/>
              </w:rPr>
              <w:t>.</w:t>
            </w:r>
            <w:r>
              <w:rPr>
                <w:rFonts w:hint="eastAsia" w:ascii="宋体" w:hAnsi="宋体" w:eastAsia="宋体" w:cs="宋体"/>
                <w:sz w:val="24"/>
                <w:highlight w:val="yellow"/>
              </w:rPr>
              <w:t>中</w:t>
            </w:r>
            <w:r>
              <w:rPr>
                <w:rFonts w:hint="eastAsia"/>
                <w:sz w:val="24"/>
                <w:highlight w:val="yellow"/>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十一</w:t>
            </w: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lang w:val="en-US" w:eastAsia="zh-CN"/>
              </w:rPr>
              <w:t>格式十三</w:t>
            </w:r>
          </w:p>
        </w:tc>
        <w:tc>
          <w:tcPr>
            <w:tcW w:w="121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5" w:name="串通投标的情形"/>
      <w:bookmarkStart w:id="6" w:name="_Toc359856805"/>
      <w:bookmarkStart w:id="7" w:name="_Toc359592368"/>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5"/>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8" w:name="废标的情形"/>
      <w:r>
        <w:rPr>
          <w:rFonts w:hint="eastAsia" w:ascii="宋体" w:hAnsi="宋体" w:cs="宋体"/>
          <w:b/>
          <w:sz w:val="24"/>
          <w:szCs w:val="24"/>
        </w:rPr>
        <w:t>废标的情形</w:t>
      </w:r>
      <w:bookmarkEnd w:id="6"/>
      <w:bookmarkEnd w:id="7"/>
      <w:bookmarkEnd w:id="8"/>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highlight w:val="yellow"/>
        </w:rPr>
      </w:pPr>
      <w:r>
        <w:rPr>
          <w:rFonts w:hint="eastAsia" w:ascii="宋体" w:hAnsi="宋体" w:cs="宋体"/>
          <w:color w:val="000000"/>
          <w:kern w:val="0"/>
          <w:sz w:val="24"/>
          <w:highlight w:val="yellow"/>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lang w:eastAsia="zh-CN"/>
        </w:rPr>
        <w:t>202</w:t>
      </w:r>
      <w:r>
        <w:rPr>
          <w:rFonts w:hint="eastAsia" w:ascii="宋体" w:hAnsi="宋体" w:cs="宋体"/>
          <w:b/>
          <w:bCs/>
          <w:color w:val="FF0000"/>
          <w:kern w:val="0"/>
          <w:sz w:val="24"/>
          <w:highlight w:val="yellow"/>
          <w:lang w:val="en-US" w:eastAsia="zh-CN"/>
        </w:rPr>
        <w:t>3</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highlight w:val="cyan"/>
        </w:rPr>
      </w:pPr>
      <w:r>
        <w:rPr>
          <w:rFonts w:hint="eastAsia" w:ascii="宋体" w:hAnsi="宋体" w:cs="宋体"/>
          <w:color w:val="000000"/>
          <w:sz w:val="24"/>
          <w:highlight w:val="cyan"/>
        </w:rPr>
        <w:t>1.验收分初验、终验二阶段。投标人将所供货物运至交货地点，</w:t>
      </w:r>
      <w:r>
        <w:rPr>
          <w:rFonts w:hint="eastAsia" w:ascii="宋体" w:hAnsi="宋体" w:cs="宋体"/>
          <w:color w:val="000000"/>
          <w:sz w:val="24"/>
          <w:highlight w:val="cyan"/>
          <w:lang w:val="en-US" w:eastAsia="zh-CN"/>
        </w:rPr>
        <w:t>招标人</w:t>
      </w:r>
      <w:r>
        <w:rPr>
          <w:rFonts w:hint="eastAsia" w:ascii="宋体" w:hAnsi="宋体" w:cs="宋体"/>
          <w:color w:val="000000"/>
          <w:sz w:val="24"/>
          <w:highlight w:val="cyan"/>
        </w:rPr>
        <w:t>在场时拆箱，由</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人当场清点验收。安装调试完毕后，协助</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人完成系统集成初验。</w:t>
      </w:r>
    </w:p>
    <w:p>
      <w:pPr>
        <w:autoSpaceDE w:val="0"/>
        <w:autoSpaceDN w:val="0"/>
        <w:adjustRightInd w:val="0"/>
        <w:spacing w:line="360" w:lineRule="auto"/>
        <w:ind w:firstLine="480" w:firstLineChars="200"/>
        <w:jc w:val="left"/>
        <w:rPr>
          <w:rFonts w:ascii="宋体" w:hAnsi="宋体" w:cs="宋体"/>
          <w:color w:val="000000"/>
          <w:sz w:val="24"/>
          <w:highlight w:val="cyan"/>
        </w:rPr>
      </w:pPr>
      <w:r>
        <w:rPr>
          <w:rFonts w:hint="eastAsia" w:ascii="宋体" w:hAnsi="宋体" w:cs="宋体"/>
          <w:color w:val="000000"/>
          <w:sz w:val="24"/>
          <w:highlight w:val="cyan"/>
        </w:rPr>
        <w:t>2.货物从系统集成初验合格次日起7天内，出现非</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highlight w:val="cyan"/>
        </w:rPr>
      </w:pPr>
      <w:r>
        <w:rPr>
          <w:rFonts w:hint="eastAsia" w:ascii="宋体" w:hAnsi="宋体" w:cs="宋体"/>
          <w:color w:val="000000"/>
          <w:sz w:val="24"/>
          <w:highlight w:val="cyan"/>
        </w:rPr>
        <w:t>3.系统终验在系统集成初验合格一个月内组织实施。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b/>
          <w:sz w:val="24"/>
        </w:rPr>
      </w:pPr>
      <w:r>
        <w:rPr>
          <w:rFonts w:hint="eastAsia" w:ascii="宋体" w:hAnsi="宋体" w:cs="宋体"/>
          <w:color w:val="FF0000"/>
          <w:sz w:val="24"/>
          <w:highlight w:val="yellow"/>
          <w:lang w:val="en-US" w:eastAsia="zh-CN"/>
        </w:rPr>
        <w:t>4</w:t>
      </w:r>
      <w:r>
        <w:rPr>
          <w:rFonts w:hint="eastAsia" w:ascii="宋体" w:hAnsi="宋体" w:eastAsia="宋体" w:cs="宋体"/>
          <w:color w:val="FF0000"/>
          <w:sz w:val="24"/>
          <w:highlight w:val="yellow"/>
        </w:rPr>
        <w:t>.验收时，投标人须提供设备的相关资料：开箱单（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w:t>
      </w:r>
      <w:r>
        <w:rPr>
          <w:rFonts w:hint="eastAsia" w:ascii="宋体" w:hAnsi="宋体" w:cs="宋体"/>
          <w:color w:val="000000"/>
          <w:sz w:val="24"/>
          <w:lang w:val="en-US" w:eastAsia="zh-CN"/>
        </w:rPr>
        <w:t>参照</w:t>
      </w:r>
      <w:r>
        <w:rPr>
          <w:rFonts w:hint="eastAsia" w:ascii="宋体" w:hAnsi="宋体" w:cs="宋体"/>
          <w:color w:val="000000"/>
          <w:sz w:val="24"/>
        </w:rPr>
        <w:t>《政府采购法》及有关规定编制，解释权属招标人。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b/>
          <w:color w:val="000000"/>
          <w:sz w:val="32"/>
          <w:szCs w:val="32"/>
        </w:rPr>
      </w:pPr>
      <w:r>
        <w:rPr>
          <w:rFonts w:hint="eastAsia" w:ascii="宋体" w:hAnsi="宋体"/>
          <w:bCs/>
          <w:color w:val="FF0000"/>
          <w:sz w:val="24"/>
        </w:rPr>
        <w:t>项目技术答疑联系人：</w:t>
      </w:r>
      <w:r>
        <w:rPr>
          <w:rFonts w:hint="eastAsia" w:ascii="宋体" w:hAnsi="宋体"/>
          <w:bCs/>
          <w:color w:val="FF0000"/>
          <w:sz w:val="24"/>
          <w:lang w:val="en-US" w:eastAsia="zh-CN"/>
        </w:rPr>
        <w:t>周</w:t>
      </w:r>
      <w:r>
        <w:rPr>
          <w:rFonts w:hint="eastAsia" w:ascii="宋体" w:hAnsi="宋体"/>
          <w:bCs/>
          <w:color w:val="FF0000"/>
          <w:sz w:val="24"/>
        </w:rPr>
        <w:t>老师；电话：</w:t>
      </w:r>
      <w:r>
        <w:rPr>
          <w:rFonts w:hint="eastAsia" w:ascii="宋体" w:hAnsi="宋体"/>
          <w:bCs/>
          <w:color w:val="FF0000"/>
          <w:sz w:val="24"/>
          <w:lang w:val="en-US" w:eastAsia="zh-CN"/>
        </w:rPr>
        <w:t>0570-8026582，13819004807</w:t>
      </w:r>
      <w:r>
        <w:rPr>
          <w:rFonts w:hint="eastAsia" w:ascii="宋体" w:hAnsi="宋体" w:cs="宋体"/>
          <w:color w:val="FF0000"/>
          <w:sz w:val="24"/>
        </w:rPr>
        <w:t>。</w:t>
      </w:r>
    </w:p>
    <w:p>
      <w:pPr>
        <w:spacing w:line="360" w:lineRule="auto"/>
        <w:jc w:val="center"/>
        <w:rPr>
          <w:b/>
          <w:color w:val="000000"/>
          <w:sz w:val="32"/>
          <w:szCs w:val="32"/>
        </w:rPr>
      </w:pPr>
    </w:p>
    <w:p>
      <w:pPr>
        <w:spacing w:line="360" w:lineRule="auto"/>
        <w:ind w:left="456" w:leftChars="228" w:firstLine="12" w:firstLineChars="5"/>
        <w:rPr>
          <w:rFonts w:hint="eastAsia" w:ascii="宋体" w:hAnsi="宋体" w:eastAsia="宋体" w:cs="宋体"/>
          <w:color w:val="000000"/>
          <w:kern w:val="0"/>
          <w:sz w:val="24"/>
          <w:szCs w:val="24"/>
        </w:rPr>
      </w:pPr>
      <w:bookmarkStart w:id="9" w:name="_Toc28467"/>
      <w:r>
        <w:rPr>
          <w:rFonts w:hint="eastAsia" w:ascii="宋体" w:hAnsi="宋体" w:eastAsia="宋体" w:cs="宋体"/>
          <w:color w:val="000000"/>
          <w:kern w:val="0"/>
          <w:sz w:val="24"/>
        </w:rPr>
        <w:t xml:space="preserve">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keepNext w:val="0"/>
        <w:keepLines w:val="0"/>
        <w:pageBreakBefore w:val="0"/>
        <w:kinsoku/>
        <w:wordWrap/>
        <w:overflowPunct/>
        <w:topLinePunct w:val="0"/>
        <w:autoSpaceDE/>
        <w:autoSpaceDN/>
        <w:bidi w:val="0"/>
        <w:spacing w:line="420" w:lineRule="exact"/>
        <w:jc w:val="center"/>
        <w:textAlignment w:val="auto"/>
        <w:outlineLvl w:val="0"/>
        <w:rPr>
          <w:rStyle w:val="28"/>
          <w:rFonts w:hint="eastAsia" w:asciiTheme="minorHAnsi" w:hAnsiTheme="minorHAnsi" w:cstheme="minorBidi"/>
        </w:rPr>
      </w:pPr>
    </w:p>
    <w:p>
      <w:pPr>
        <w:keepNext w:val="0"/>
        <w:keepLines w:val="0"/>
        <w:pageBreakBefore w:val="0"/>
        <w:kinsoku/>
        <w:wordWrap/>
        <w:overflowPunct/>
        <w:topLinePunct w:val="0"/>
        <w:autoSpaceDE/>
        <w:autoSpaceDN/>
        <w:bidi w:val="0"/>
        <w:spacing w:line="420" w:lineRule="exact"/>
        <w:jc w:val="center"/>
        <w:textAlignment w:val="auto"/>
        <w:outlineLvl w:val="0"/>
        <w:rPr>
          <w:rStyle w:val="28"/>
          <w:rFonts w:hint="eastAsia" w:asciiTheme="minorHAnsi" w:hAnsiTheme="minorHAnsi" w:cstheme="minorBidi"/>
        </w:rPr>
      </w:pPr>
    </w:p>
    <w:bookmarkEnd w:id="9"/>
    <w:p>
      <w:pPr>
        <w:spacing w:line="360" w:lineRule="auto"/>
        <w:jc w:val="center"/>
        <w:rPr>
          <w:b/>
          <w:color w:val="000000"/>
          <w:sz w:val="32"/>
          <w:szCs w:val="32"/>
        </w:rPr>
      </w:pPr>
      <w:bookmarkStart w:id="10" w:name="_Toc27027"/>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both"/>
        <w:rPr>
          <w:b/>
          <w:color w:val="000000"/>
          <w:sz w:val="32"/>
          <w:szCs w:val="32"/>
        </w:rPr>
      </w:pPr>
    </w:p>
    <w:bookmarkEnd w:id="10"/>
    <w:p>
      <w:pPr>
        <w:spacing w:line="360" w:lineRule="auto"/>
        <w:jc w:val="center"/>
        <w:rPr>
          <w:b/>
          <w:color w:val="000000"/>
          <w:sz w:val="32"/>
          <w:szCs w:val="32"/>
        </w:rPr>
      </w:pPr>
      <w:bookmarkStart w:id="11" w:name="_Toc5442"/>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8"/>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highlight w:val="red"/>
                <w:lang w:val="en-US" w:eastAsia="zh-CN"/>
              </w:rPr>
            </w:pPr>
            <w:r>
              <w:rPr>
                <w:rFonts w:hint="eastAsia" w:ascii="宋体" w:hAnsi="宋体" w:cs="宋体"/>
                <w:color w:val="000000"/>
                <w:sz w:val="24"/>
                <w:highlight w:val="none"/>
                <w:lang w:val="en-US" w:eastAsia="zh-CN"/>
              </w:rPr>
              <w:t>校园监控设备</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r>
    </w:tbl>
    <w:p>
      <w:pPr>
        <w:spacing w:line="360" w:lineRule="auto"/>
        <w:ind w:firstLine="482" w:firstLineChars="200"/>
        <w:rPr>
          <w:rFonts w:hint="eastAsia" w:eastAsia="宋体"/>
          <w:b/>
          <w:color w:val="000000"/>
          <w:sz w:val="24"/>
          <w:lang w:val="en-US" w:eastAsia="zh-CN"/>
        </w:rPr>
      </w:pPr>
      <w:r>
        <w:rPr>
          <w:rFonts w:hint="eastAsia"/>
          <w:b/>
          <w:color w:val="000000"/>
          <w:sz w:val="24"/>
          <w:lang w:val="en-US" w:eastAsia="zh-CN"/>
        </w:rPr>
        <w:t>项目明细</w:t>
      </w:r>
    </w:p>
    <w:tbl>
      <w:tblPr>
        <w:tblStyle w:val="18"/>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rFonts w:hint="eastAsia" w:eastAsia="宋体"/>
                <w:bCs/>
                <w:color w:val="000000"/>
                <w:kern w:val="0"/>
                <w:sz w:val="24"/>
                <w:lang w:eastAsia="zh-CN"/>
              </w:rPr>
            </w:pPr>
            <w:r>
              <w:rPr>
                <w:bCs/>
                <w:color w:val="000000"/>
                <w:kern w:val="0"/>
                <w:sz w:val="24"/>
              </w:rPr>
              <w:t>采购</w:t>
            </w:r>
            <w:r>
              <w:rPr>
                <w:rFonts w:hint="eastAsia"/>
                <w:bCs/>
                <w:color w:val="000000"/>
                <w:kern w:val="0"/>
                <w:sz w:val="24"/>
                <w:lang w:val="en-US" w:eastAsia="zh-CN"/>
              </w:rPr>
              <w:t>内容</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5103" w:type="dxa"/>
            <w:vAlign w:val="center"/>
          </w:tcPr>
          <w:p>
            <w:pPr>
              <w:keepNext w:val="0"/>
              <w:keepLines w:val="0"/>
              <w:widowControl/>
              <w:suppressLineNumbers w:val="0"/>
              <w:jc w:val="center"/>
              <w:textAlignment w:val="center"/>
              <w:rPr>
                <w:rFonts w:hint="eastAsia" w:ascii="宋体" w:hAnsi="宋体" w:eastAsia="宋体" w:cs="宋体"/>
                <w:bCs/>
                <w:color w:val="000000"/>
                <w:kern w:val="0"/>
                <w:szCs w:val="21"/>
                <w:lang w:val="en-US" w:eastAsia="zh-CN"/>
              </w:rPr>
            </w:pPr>
            <w:r>
              <w:rPr>
                <w:rFonts w:hint="eastAsia" w:ascii="宋体" w:hAnsi="宋体" w:eastAsia="宋体" w:cs="宋体"/>
                <w:i w:val="0"/>
                <w:color w:val="000000"/>
                <w:kern w:val="0"/>
                <w:sz w:val="20"/>
                <w:szCs w:val="20"/>
                <w:u w:val="none"/>
                <w:lang w:val="en-US" w:eastAsia="zh-CN" w:bidi="ar"/>
              </w:rPr>
              <w:t>半球摄像机</w:t>
            </w:r>
          </w:p>
        </w:tc>
        <w:tc>
          <w:tcPr>
            <w:tcW w:w="851" w:type="dxa"/>
            <w:vAlign w:val="center"/>
          </w:tcPr>
          <w:p>
            <w:pPr>
              <w:keepNext w:val="0"/>
              <w:keepLines w:val="0"/>
              <w:widowControl/>
              <w:suppressLineNumbers w:val="0"/>
              <w:jc w:val="center"/>
              <w:textAlignment w:val="center"/>
              <w:rPr>
                <w:rFonts w:hint="default" w:ascii="宋体" w:hAnsi="宋体" w:eastAsia="宋体" w:cs="宋体"/>
                <w:bCs/>
                <w:color w:val="000000"/>
                <w:kern w:val="0"/>
                <w:szCs w:val="21"/>
                <w:lang w:val="en-US" w:eastAsia="zh-CN"/>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hint="default" w:ascii="宋体" w:hAnsi="宋体" w:eastAsia="宋体" w:cs="宋体"/>
                <w:bCs/>
                <w:color w:val="000000"/>
                <w:szCs w:val="21"/>
                <w:lang w:val="en-US" w:eastAsia="zh-CN"/>
              </w:rPr>
            </w:pPr>
            <w:r>
              <w:rPr>
                <w:rFonts w:hint="eastAsia" w:ascii="宋体" w:hAnsi="宋体" w:eastAsia="宋体" w:cs="宋体"/>
                <w:i w:val="0"/>
                <w:color w:val="000000"/>
                <w:kern w:val="0"/>
                <w:sz w:val="20"/>
                <w:szCs w:val="20"/>
                <w:u w:val="none"/>
                <w:lang w:val="en-US" w:eastAsia="zh-CN" w:bidi="ar"/>
              </w:rPr>
              <w:t xml:space="preserve">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w:t>
            </w:r>
          </w:p>
        </w:tc>
        <w:tc>
          <w:tcPr>
            <w:tcW w:w="5103" w:type="dxa"/>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高清筒机</w:t>
            </w:r>
          </w:p>
        </w:tc>
        <w:tc>
          <w:tcPr>
            <w:tcW w:w="851" w:type="dxa"/>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3</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运维节点以及监控授权扩容</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4</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云存储</w:t>
            </w:r>
            <w:r>
              <w:rPr>
                <w:rFonts w:hint="eastAsia" w:ascii="宋体" w:hAnsi="宋体" w:cs="宋体"/>
                <w:i w:val="0"/>
                <w:color w:val="000000"/>
                <w:kern w:val="0"/>
                <w:sz w:val="20"/>
                <w:szCs w:val="20"/>
                <w:u w:val="none"/>
                <w:lang w:val="en-US" w:eastAsia="zh-CN" w:bidi="ar"/>
              </w:rPr>
              <w:t>（云服务器）</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5</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0"/>
                <w:szCs w:val="20"/>
                <w:u w:val="none"/>
                <w:lang w:val="en-US" w:eastAsia="zh-CN" w:bidi="ar"/>
              </w:rPr>
              <w:t>网络硬盘录像机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6</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12TB硬盘</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片</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7</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24口交换机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8</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8口交换机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9</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网线</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箱</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10</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耗材</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批</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8"/>
        <w:gridCol w:w="618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008" w:type="dxa"/>
            <w:vAlign w:val="center"/>
          </w:tcPr>
          <w:p>
            <w:pPr>
              <w:jc w:val="center"/>
              <w:rPr>
                <w:rFonts w:eastAsiaTheme="minorEastAsia"/>
                <w:b/>
                <w:bCs/>
                <w:color w:val="000000"/>
                <w:szCs w:val="21"/>
              </w:rPr>
            </w:pPr>
            <w:r>
              <w:rPr>
                <w:rFonts w:eastAsiaTheme="minorEastAsia"/>
                <w:b/>
                <w:bCs/>
                <w:color w:val="000000"/>
                <w:szCs w:val="21"/>
              </w:rPr>
              <w:t>名称</w:t>
            </w:r>
          </w:p>
        </w:tc>
        <w:tc>
          <w:tcPr>
            <w:tcW w:w="6180"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655"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1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半球摄像机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400万像素 CMOS传感器。全彩海螺型网络摄像机</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全彩级高灵敏度传感器，F1.0超大光圈镜头，提供更清晰的视频流输入</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★最高分辨率可达2560 × 1440 @25 fps，在该分辨率下可输出实时图像&gt;射频电磁场辐射抗扰度限值应符合GB/T 17626.3-2006中试验等级3的规定。（公安部检验报告证明）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★1个内置麦克风，高清拾音，符合IP66防尘防水设计，可靠性高</w:t>
            </w:r>
            <w:r>
              <w:rPr>
                <w:rFonts w:hint="eastAsia"/>
                <w:lang w:eastAsia="zh-CN"/>
              </w:rPr>
              <w:t>；</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 xml:space="preserve">传感器类型：1/1.8" Progressive Scan CMOS，最低照度：彩色：0.0005 Lux @（F1.0，AGC ON）, 0 Lux with Light， 宽动态：120 dB，补光距离：最远可达30 m，防补光过曝：支持；最大图像尺寸：2560 × 1440，PoE：802.3af，36 V~57 V，0.18 A~0.12 A，最大功耗：6.5 W，供电方式：DC：12 V ± 25%，支持防反接保护PoE：802.3af，Class 3，防护：IP66 </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2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高清筒机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★内置1颗GPU、2个麦克风（公安部检验报告证明）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★摄像机采用鳞镜式补光灯，补光灯开启后，正面不可见补光灯灯珠，补光亮度均匀，无明显波纹状、圆环状、麻点状、条纹状及不规则亮斑。（公安部检验报告证明）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★设备具有耀光抑制功能，耀光区域≤1%。（公安部检验报告证明）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★设备内置电动变焦镜头，操作便易，变焦过程平稳</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支持开放型网络视频接口，ISAPI，GB/T28181-2016，ISUP5.0，视图库</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支持标准的256 GB MicroSD / MicroSDHC / MicroSDXC卡存储，支持10 M/100 M自适应网口</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7.</w:t>
            </w:r>
            <w:r>
              <w:rPr>
                <w:rFonts w:hint="default" w:ascii="Times New Roman" w:hAnsi="Times New Roman" w:eastAsia="宋体" w:cs="Times New Roman"/>
                <w:color w:val="auto"/>
                <w:kern w:val="0"/>
                <w:sz w:val="21"/>
                <w:szCs w:val="21"/>
                <w:lang w:val="en-US" w:eastAsia="zh-CN" w:bidi="ar"/>
              </w:rPr>
              <w:t>标配2个内置麦克风，支持三码流技术，支持同时20路取流，支持三级用户权限管理，支持授权的用户和密码，支持IP地址过滤，电源供应：DC：12 V ± 20%；PoE：802.3af，Type 1，Class 3，防护等级：IP67</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8.</w:t>
            </w:r>
            <w:r>
              <w:rPr>
                <w:rFonts w:hint="default" w:ascii="Times New Roman" w:hAnsi="Times New Roman" w:eastAsia="宋体" w:cs="Times New Roman"/>
                <w:color w:val="auto"/>
                <w:kern w:val="0"/>
                <w:sz w:val="21"/>
                <w:szCs w:val="21"/>
                <w:lang w:val="en-US" w:eastAsia="zh-CN" w:bidi="ar"/>
              </w:rPr>
              <w:t xml:space="preserve">传感器类型：1/2.7" Progressive Scan CMOS，最低照度：彩色：0.005 Lux @（F1.2，AGC ON），黑白：0.001 Lux @（F1.2，AGC ON），0 Lux with IR，宽动态：120 dB </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9.</w:t>
            </w:r>
            <w:r>
              <w:rPr>
                <w:rFonts w:hint="default" w:ascii="Times New Roman" w:hAnsi="Times New Roman" w:eastAsia="宋体" w:cs="Times New Roman"/>
                <w:color w:val="auto"/>
                <w:kern w:val="0"/>
                <w:sz w:val="21"/>
                <w:szCs w:val="21"/>
                <w:lang w:val="en-US" w:eastAsia="zh-CN" w:bidi="ar"/>
              </w:rPr>
              <w:t xml:space="preserve">焦距&amp;视场角：2.7~13.5 mm：水平视场角：96.6°~29.7°，垂直视场角：51.7°~16.7°，对角视场角：114.2°~34° </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color w:val="auto"/>
                <w:kern w:val="0"/>
                <w:sz w:val="21"/>
                <w:szCs w:val="21"/>
                <w:lang w:val="en-US" w:eastAsia="zh-CN" w:bidi="ar"/>
              </w:rPr>
              <w:t>10.</w:t>
            </w:r>
            <w:r>
              <w:rPr>
                <w:rFonts w:hint="default" w:ascii="Times New Roman" w:hAnsi="Times New Roman" w:eastAsia="宋体" w:cs="Times New Roman"/>
                <w:color w:val="auto"/>
                <w:kern w:val="0"/>
                <w:sz w:val="21"/>
                <w:szCs w:val="21"/>
                <w:lang w:val="en-US" w:eastAsia="zh-CN" w:bidi="ar"/>
              </w:rPr>
              <w:t xml:space="preserve">补光灯类型：默认红外补光，可切换暖白光，补光距离：暖白光：最远可达30 m，红外灯：最远可达50 m，防补光过曝：支持防补光过曝开启和关闭，开启下支持自动和手动，手动支持根据距离等级控制补光灯亮度，补光灯数量：4颗，红外波长范围：850 nm，PoE：802.3af，36 V~57 V，0.34 A~0.22A，最大功耗：12.1 W，供电方式：DC：12 V ± 20%，支持防反接保护，PoE：802.3af，Type1，Class 3，线缆长度：35 cm，电源接口类型：3芯电源接口，防护：IP67 </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3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运维节点以及监控授权扩容</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原衢州学院平台扩容</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1.每套视频云存储可管理的节点设备。</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节点设备，包含存储节点、异构节点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3.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4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云存储</w:t>
            </w:r>
            <w:r>
              <w:rPr>
                <w:rFonts w:hint="default" w:ascii="Times New Roman" w:hAnsi="Times New Roman" w:cs="Times New Roman"/>
                <w:i w:val="0"/>
                <w:color w:val="000000"/>
                <w:kern w:val="0"/>
                <w:sz w:val="20"/>
                <w:szCs w:val="20"/>
                <w:u w:val="none"/>
                <w:lang w:val="en-US" w:eastAsia="zh-CN" w:bidi="ar"/>
              </w:rPr>
              <w:t>（云服务器）</w:t>
            </w:r>
          </w:p>
        </w:tc>
        <w:tc>
          <w:tcPr>
            <w:tcW w:w="6180" w:type="dxa"/>
            <w:shd w:val="clear" w:color="auto" w:fill="FFFFFF"/>
            <w:vAlign w:val="center"/>
          </w:tcPr>
          <w:p>
            <w:pPr>
              <w:ind w:left="210" w:hanging="211" w:hangingChars="100"/>
              <w:jc w:val="left"/>
              <w:rPr>
                <w:rFonts w:hint="default" w:ascii="Times New Roman" w:hAnsi="Times New Roman" w:eastAsia="宋体" w:cs="Times New Roman"/>
                <w:color w:val="000000"/>
                <w:kern w:val="0"/>
                <w:sz w:val="21"/>
                <w:szCs w:val="21"/>
                <w:lang w:val="en-US" w:eastAsia="zh-CN" w:bidi="ar"/>
              </w:rPr>
            </w:pPr>
            <w:r>
              <w:rPr>
                <w:rFonts w:hint="eastAsia" w:cs="Times New Roman"/>
                <w:b/>
                <w:bCs/>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处理器</w:t>
            </w:r>
            <w:r>
              <w:rPr>
                <w:rFonts w:hint="default" w:ascii="Times New Roman" w:hAnsi="Times New Roman" w:eastAsia="宋体" w:cs="Times New Roman"/>
                <w:color w:val="000000"/>
                <w:kern w:val="0"/>
                <w:sz w:val="21"/>
                <w:szCs w:val="21"/>
                <w:lang w:val="en-US" w:eastAsia="zh-CN" w:bidi="ar"/>
              </w:rPr>
              <w:t>： 海光2号C86 3250，8核，主频：3.0GH</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val="en-US" w:eastAsia="zh-CN" w:bidi="ar"/>
              </w:rPr>
              <w:t xml:space="preserve">操作系统： </w:t>
            </w:r>
            <w:r>
              <w:rPr>
                <w:rFonts w:hint="default" w:ascii="Times New Roman" w:hAnsi="Times New Roman" w:eastAsia="宋体" w:cs="Times New Roman"/>
                <w:color w:val="000000"/>
                <w:kern w:val="0"/>
                <w:sz w:val="21"/>
                <w:szCs w:val="21"/>
                <w:lang w:val="en-US" w:eastAsia="zh-CN" w:bidi="ar"/>
              </w:rPr>
              <w:t>无操作系统，以IP地址与原有服务器相连接</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内存≥16GB，内存支持扩展到≥256GB，内置SSD固态硬盘（可以扩展到2个SSD作为缓存盘）</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配置≥6个风扇，可热插拔冗余温控调速风扇。（以公安部检测报告为准）；可接入硬盘≥72块；可接入2T/3T/4T/6T/8T/10T/12T/14T/16T/18T/20T SATA/SAS硬盘；支持NL-SAS 硬盘、HDD硬盘、SSD硬盘、氦气硬盘、空气硬盘；支持 CMR或SMR硬盘；支持硬盘交错/分时启动。（以公安部检测报告为准）；</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支持指定本地视频和图片数据备份到公有云，用户可在图形化页面直接配置公有云地址，数据可按对象方式自动复制到公有云，且支持配置本地删除操作不同步到公有云，无须单独配置备份软件（以公安部检测报告为准）；</w:t>
            </w:r>
          </w:p>
          <w:p>
            <w:pPr>
              <w:widowControl/>
              <w:jc w:val="left"/>
              <w:textAlignment w:val="center"/>
              <w:rPr>
                <w:rFonts w:hint="default" w:ascii="Times New Roman" w:hAnsi="Times New Roman" w:eastAsia="宋体" w:cs="Times New Roman"/>
                <w:kern w:val="2"/>
                <w:sz w:val="21"/>
                <w:szCs w:val="21"/>
                <w:lang w:val="en-US" w:eastAsia="zh-CN" w:bidi="ar-SA"/>
              </w:rPr>
            </w:pPr>
            <w:r>
              <w:rPr>
                <w:rFonts w:hint="eastAsia"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与已建立云存储无缝对接且共用。设备配置双64位海光2号C86 3250处理器，32GB（可扩展至256GB），支持SATA磁盘，可外接SAS扩展柜；网络raid +1，+2，+3，+4；6个千兆网口，1个IPMI管理接口；支持视音频、图片、直接写入，支持视频高速预览、回放、下载，支持云内容灾备份，支持一体化运维，支持GB/T28181-2011、Onvif、RTSP、H265、SVAC等标准视频协议，满配8TB  IoT硬盘</w:t>
            </w:r>
            <w:r>
              <w:rPr>
                <w:rFonts w:hint="eastAsia" w:cs="Times New Roman"/>
                <w:color w:val="000000"/>
                <w:kern w:val="0"/>
                <w:sz w:val="21"/>
                <w:szCs w:val="21"/>
                <w:lang w:val="en-US" w:eastAsia="zh-CN" w:bidi="ar"/>
              </w:rPr>
              <w:t>；</w:t>
            </w:r>
          </w:p>
          <w:p>
            <w:pPr>
              <w:widowControl/>
              <w:jc w:val="left"/>
              <w:textAlignment w:val="center"/>
              <w:rPr>
                <w:rFonts w:hint="default" w:ascii="Times New Roman" w:hAnsi="Times New Roman" w:eastAsia="宋体" w:cs="Times New Roman"/>
                <w:sz w:val="21"/>
                <w:szCs w:val="21"/>
              </w:rPr>
            </w:pPr>
            <w:r>
              <w:rPr>
                <w:rFonts w:hint="eastAsia" w:cs="Times New Roman"/>
                <w:color w:val="FF0000"/>
                <w:kern w:val="2"/>
                <w:sz w:val="21"/>
                <w:szCs w:val="21"/>
                <w:highlight w:val="yellow"/>
                <w:lang w:val="en-US" w:eastAsia="zh-CN" w:bidi="ar-SA"/>
              </w:rPr>
              <w:t>7.</w:t>
            </w:r>
            <w:r>
              <w:rPr>
                <w:rFonts w:hint="default" w:ascii="Times New Roman" w:hAnsi="Times New Roman" w:eastAsia="宋体" w:cs="Times New Roman"/>
                <w:color w:val="FF0000"/>
                <w:kern w:val="2"/>
                <w:sz w:val="21"/>
                <w:szCs w:val="21"/>
                <w:highlight w:val="yellow"/>
                <w:lang w:val="en-US" w:eastAsia="zh-CN" w:bidi="ar-SA"/>
              </w:rPr>
              <w:t>▲云存储必须接入原存储管理系统，支持统一管理，统一运维，存储资源池统一管理。</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5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cs="Times New Roman"/>
                <w:i w:val="0"/>
                <w:color w:val="000000"/>
                <w:kern w:val="0"/>
                <w:sz w:val="20"/>
                <w:szCs w:val="20"/>
                <w:u w:val="none"/>
                <w:lang w:val="en-US" w:eastAsia="zh-CN" w:bidi="ar"/>
              </w:rPr>
              <w:t>网络</w:t>
            </w:r>
            <w:r>
              <w:rPr>
                <w:rFonts w:hint="eastAsia" w:ascii="宋体" w:hAnsi="宋体" w:cs="宋体"/>
                <w:i w:val="0"/>
                <w:color w:val="000000"/>
                <w:kern w:val="0"/>
                <w:sz w:val="20"/>
                <w:szCs w:val="20"/>
                <w:u w:val="none"/>
                <w:lang w:val="en-US" w:eastAsia="zh-CN" w:bidi="ar"/>
              </w:rPr>
              <w:t>硬盘</w:t>
            </w:r>
            <w:r>
              <w:rPr>
                <w:rFonts w:hint="default" w:ascii="Times New Roman" w:hAnsi="Times New Roman" w:cs="Times New Roman"/>
                <w:i w:val="0"/>
                <w:color w:val="000000"/>
                <w:kern w:val="0"/>
                <w:sz w:val="20"/>
                <w:szCs w:val="20"/>
                <w:u w:val="none"/>
                <w:lang w:val="en-US" w:eastAsia="zh-CN" w:bidi="ar"/>
              </w:rPr>
              <w:t>录像机</w:t>
            </w:r>
          </w:p>
        </w:tc>
        <w:tc>
          <w:tcPr>
            <w:tcW w:w="6180" w:type="dxa"/>
            <w:shd w:val="clear" w:color="auto" w:fill="FFFFFF"/>
            <w:vAlign w:val="center"/>
          </w:tcPr>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1.3U准机架式16盘位人脸分析网络硬盘录像机NVR，1+1冗余电源，1+1冗余风扇；2.支持前置硬盘热插拔，支持满配12TB硬盘（总容量可达192TB)：支持 64 路视频流人脸识别，支持 128 路图片流人脸识别。8 个GPU条件下，人脸库建模速度不低于500张/秒；（以公安部检测报告为准）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3.具有存储安全保障功能，当存储压力过高或硬盘出现性能不足时，可优先录像业务存储；（以公安部检测报告为准）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4.支持人脸抓拍库（存储于硬盘中）存储5000万条人脸抓拍历史记录；（以公安部检测报告为准）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5.支持接入高级移动侦测的相机，移动侦测报警能够区分是人、车还是其它目标产生，可录像和记录报警信息；（以公安部检测报告为准）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6.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7.接入能力：128路H.264、H.265格式高清码流接入。解码能力：最大支持20×1080P，RAID模式：RAID0、RAID1、RAID5、RAID6、RAID10；</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【智能应用】</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整机搭载8颗高性能AI引擎，支持独立配置目标识别、周界防范、视频结构化、高空抛物等引擎模式。</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一、目标识别应用：</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1.支持目标抓拍、比对报警；支持以图搜图、按姓名检索、按属性检索；</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2.目标名单库：支持64个名单库，名单库库容50万张；路人库库容30万张；</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3.目标抓拍：64路视频流（2MP）；</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4.目标比对：128路图片流；</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5.目标客流：支持客流分析（图片流），支持4个客流统计组去重</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目标应用：签到、频次（高频、低频）；</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6.单颗AI引擎分析能力：16路图片流；8路2MP/6路4MP/4路8MP视频流。</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二、视频结构化应用：</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1.支持人体目标抓拍、以图搜图以及属性检索；支持车牌识别、车牌库报警以及属性检索；</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2.视频结构化性能：48路视频流（2MP）；</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3.单颗AI引擎分析能力：6路2MP/3路4MP/2路8MP视频流；</w:t>
            </w:r>
          </w:p>
          <w:p>
            <w:pPr>
              <w:keepNext w:val="0"/>
              <w:keepLines w:val="0"/>
              <w:widowControl/>
              <w:suppressLineNumbers w:val="0"/>
              <w:jc w:val="left"/>
              <w:textAlignment w:val="center"/>
              <w:rPr>
                <w:rFonts w:hint="default" w:ascii="Times New Roman" w:hAnsi="Times New Roman" w:eastAsia="宋体" w:cs="Times New Roman"/>
                <w:sz w:val="21"/>
                <w:szCs w:val="21"/>
              </w:rPr>
            </w:pPr>
            <w:r>
              <w:rPr>
                <w:rFonts w:hint="eastAsia" w:cs="Times New Roman"/>
                <w:color w:val="FF0000"/>
                <w:kern w:val="0"/>
                <w:sz w:val="21"/>
                <w:szCs w:val="21"/>
                <w:highlight w:val="yellow"/>
                <w:lang w:val="en-US" w:eastAsia="zh-CN" w:bidi="ar"/>
              </w:rPr>
              <w:t>4.▲要求与已建人脸分析网络硬盘录像算法并用及互联，与原有人脸分析网络硬盘录像共用具备人员轨迹能力。</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6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12TB硬盘</w:t>
            </w:r>
          </w:p>
        </w:tc>
        <w:tc>
          <w:tcPr>
            <w:tcW w:w="6180" w:type="dxa"/>
            <w:shd w:val="clear" w:color="auto" w:fill="FFFFFF"/>
            <w:vAlign w:val="center"/>
          </w:tcPr>
          <w:p>
            <w:pPr>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3.5 HDD,12TB,7200RPM, 512MB, SATA 6Gb/s，高转速：7200rpm，支持RAID应用(搭配NVR)，高达512MB缓冲区，流畅存储视频有效防止丢帧，MTBF(平均故障间隔时间)：不小于100万小时，年写入负载：不小于550TB，24×7全天候高效稳定运行，支持5年有限质保服务</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7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24口交换机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24口，交换容量≥330Gbps，转发性能≥126Mpps；</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硬件规格：千兆电口≥24个，千兆SFP端口（combo口）≥4个，支持802.3af/PoE、802.3at/PoE+供电标准，整机POE输出功率≥370W，工作环境温度：-5℃～45℃；</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VLAN特性：支持基于端口的VLAN，支持基于协议的VLAN；</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虚拟化特性：支持跨设备链路聚合；支持通过标准以太端口进行堆叠；支持纵向虚拟化技术；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可视化：支持Telemetry技术；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SDN：支持OpenFlow 1.3标准，基于Openflow通过将网络的控制层和数据转发层进行分离，简化网络的管理及维护，实现网络流量的灵活控制；</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网管平台：交换机内置网络管理平台，可作为被管理设备，连接到网络中，实现轻松维护；</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8</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环网保护：支持G.8032以太网环保护协议ERPS、切换时间≤50ms，支持SmartLink；</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8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8口交换机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 8口，交换容量≥336Gbps，包转发率≥30Mpps；</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 固化10/100/1000M以太网电口≥10，1000M/2.5G SFP千兆光接口≥2个；</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 支持POE和POE+同时可POE供电端口≥8个，POE最大输出功率≥125W，PoE满载下整机最大功耗141W；</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 绿色节能：要求支持高效节能以太网特性。端口如果在连续一段时间之内空闲，系统会将该端口设置为节能模式，当有报文收发时再通过定时发送的监听码流唤醒端口恢复业务，达到节能的效果；</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 设备采用降噪设计，整机噪声≤37dB；</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 ★要求所投产品端口浪涌抗扰度≥10KV（即具备10KV的防雷能力），提供官网截图和链接证明；</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 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8. 支持基础网络保护策略，能够限制用户向网络中发送ARP报文、ICMP请求报文、DHCP请求报文等数据包的数率，对超过限速阈值的报文进行丢弃处理，甚至能够识别攻击行为，对有攻击行为的用户进行隔离；</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9. 符合国家低碳环保等政策要求，支持IEEE 802.3az标准的</w:t>
            </w:r>
            <w:r>
              <w:rPr>
                <w:rFonts w:hint="eastAsia" w:ascii="Times New Roman" w:hAnsi="Times New Roman" w:cs="Times New Roman"/>
                <w:color w:val="auto"/>
                <w:kern w:val="0"/>
                <w:sz w:val="21"/>
                <w:szCs w:val="21"/>
                <w:lang w:val="en-US" w:eastAsia="zh-CN" w:bidi="ar"/>
              </w:rPr>
              <w:t>I</w:t>
            </w:r>
            <w:r>
              <w:rPr>
                <w:rFonts w:hint="default" w:ascii="Times New Roman" w:hAnsi="Times New Roman" w:eastAsia="宋体" w:cs="Times New Roman"/>
                <w:color w:val="auto"/>
                <w:kern w:val="0"/>
                <w:sz w:val="21"/>
                <w:szCs w:val="21"/>
                <w:lang w:val="en-US" w:eastAsia="zh-CN" w:bidi="ar"/>
              </w:rPr>
              <w:t>EEE节能技术；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10. 支持IPV4/IPV6静态路由协议</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11. 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12. ★支持快速以太网链路检测协议，可快速检测链路的通断和光纤链路的单向性，并支持端口下的环路检测功能，防止端口下因私接Hub等设备形成的环路而导致网络故障的现象，提供官网截图和链接证明</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13. 支持SNMP、CLI(Telnet/Console)、Syslog、NTP、TFTP、Web</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9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网线</w:t>
            </w:r>
          </w:p>
        </w:tc>
        <w:tc>
          <w:tcPr>
            <w:tcW w:w="6180" w:type="dxa"/>
            <w:shd w:val="clear" w:color="auto" w:fill="FFFFFF"/>
            <w:vAlign w:val="center"/>
          </w:tcPr>
          <w:p>
            <w:pPr>
              <w:keepNext w:val="0"/>
              <w:keepLines w:val="0"/>
              <w:widowControl/>
              <w:suppressLineNumbers w:val="0"/>
              <w:jc w:val="left"/>
              <w:textAlignment w:val="center"/>
              <w:rPr>
                <w:rFonts w:hint="default"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六类网线</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：305m/箱。（总共35箱，施工多余网线由招标人处置）</w:t>
            </w:r>
          </w:p>
        </w:tc>
        <w:tc>
          <w:tcPr>
            <w:tcW w:w="655" w:type="dxa"/>
            <w:shd w:val="clear" w:color="auto" w:fill="FFFFFF"/>
            <w:vAlign w:val="center"/>
          </w:tcPr>
          <w:p>
            <w:pPr>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10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耗材</w:t>
            </w:r>
          </w:p>
        </w:tc>
        <w:tc>
          <w:tcPr>
            <w:tcW w:w="6180" w:type="dxa"/>
            <w:shd w:val="clear" w:color="auto" w:fill="FFFFFF"/>
            <w:vAlign w:val="center"/>
          </w:tcPr>
          <w:p>
            <w:pPr>
              <w:keepNext w:val="0"/>
              <w:keepLines w:val="0"/>
              <w:widowControl/>
              <w:suppressLineNumbers w:val="0"/>
              <w:jc w:val="left"/>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线管、跳线、光纤、水晶头等耗材</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。（根据实际使用量提供）</w:t>
            </w:r>
          </w:p>
        </w:tc>
        <w:tc>
          <w:tcPr>
            <w:tcW w:w="655" w:type="dxa"/>
            <w:shd w:val="clear" w:color="auto" w:fill="FFFFFF"/>
            <w:vAlign w:val="center"/>
          </w:tcPr>
          <w:p>
            <w:pPr>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58" w:type="dxa"/>
            <w:gridSpan w:val="4"/>
            <w:shd w:val="clear" w:color="auto" w:fill="auto"/>
            <w:vAlign w:val="center"/>
          </w:tcPr>
          <w:p>
            <w:pPr>
              <w:jc w:val="left"/>
              <w:rPr>
                <w:rFonts w:eastAsiaTheme="minorEastAsia"/>
                <w:color w:val="000000" w:themeColor="text1"/>
                <w:szCs w:val="21"/>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注：第10项含完成本项目所需的全部材料。施工方案必须经招标人确认，</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所有走线必须套管，走线要求横平竖直，整齐美观，安全可靠，不能对既有设施设备的外观及功能造成损坏</w:t>
            </w:r>
            <w:r>
              <w:rPr>
                <w:rFonts w:hint="eastAsia" w:cs="Times New Roman"/>
                <w:color w:val="000000" w:themeColor="text1"/>
                <w:kern w:val="0"/>
                <w:sz w:val="21"/>
                <w:szCs w:val="21"/>
                <w:lang w:val="en-US" w:eastAsia="zh-CN" w:bidi="ar"/>
                <w14:textFill>
                  <w14:solidFill>
                    <w14:schemeClr w14:val="tx1"/>
                  </w14:solidFill>
                </w14:textFill>
              </w:rPr>
              <w:t>。</w:t>
            </w: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2" w:firstLineChars="200"/>
        <w:rPr>
          <w:rFonts w:hint="default" w:ascii="宋体" w:hAnsi="宋体" w:cs="宋体"/>
          <w:b/>
          <w:sz w:val="24"/>
          <w:highlight w:val="yellow"/>
          <w:lang w:val="en-US" w:eastAsia="zh-CN"/>
        </w:rPr>
      </w:pP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hint="default" w:ascii="宋体" w:hAnsi="宋体" w:eastAsia="宋体" w:cs="宋体"/>
          <w:color w:val="FF0000"/>
          <w:sz w:val="24"/>
          <w:lang w:val="en-US" w:eastAsia="zh-CN"/>
        </w:rPr>
      </w:pPr>
      <w:r>
        <w:rPr>
          <w:rFonts w:hint="eastAsia" w:ascii="宋体" w:hAnsi="宋体" w:cs="宋体"/>
          <w:color w:val="FF0000"/>
          <w:sz w:val="24"/>
        </w:rPr>
        <w:t>1.安装、调试、培训。</w:t>
      </w:r>
      <w:r>
        <w:rPr>
          <w:rFonts w:hint="eastAsia" w:ascii="宋体" w:hAnsi="宋体" w:cs="宋体"/>
          <w:color w:val="FF0000"/>
          <w:sz w:val="24"/>
          <w:highlight w:val="yellow"/>
          <w:lang w:val="en-US" w:eastAsia="zh-CN"/>
        </w:rPr>
        <w:t>安装地点为校园公共厕所门口及部分区域补盲，具体如下：实验楼37个，行政楼8个，后勤商贸2个，大会堂6个，球类馆2个，活动中心3个，田径场2个，图书馆负一楼2个。1-9号公寓顶楼门口10个，1-6,9号公寓自习室7个，7号公寓3-6层8个，8号公寓2-4层7个（其中4层3个），教学楼共4幢、每幢5层，共35个，健身房2个，宣传栏5个，图书馆楼梯间2楼电梯口1个，1-8号公寓快递柜上方4个，9号公寓大楼大厅对着护栏9个（女4个，男5个）。</w:t>
      </w:r>
    </w:p>
    <w:p>
      <w:pPr>
        <w:spacing w:line="360" w:lineRule="auto"/>
        <w:ind w:firstLine="480" w:firstLineChars="200"/>
        <w:rPr>
          <w:rFonts w:hint="eastAsia" w:ascii="宋体" w:hAnsi="宋体" w:cs="宋体"/>
          <w:color w:val="FF0000"/>
          <w:sz w:val="24"/>
          <w:highlight w:val="yellow"/>
          <w:lang w:val="en-US" w:eastAsia="zh-CN"/>
        </w:rPr>
      </w:pPr>
      <w:r>
        <w:rPr>
          <w:rFonts w:hint="eastAsia" w:ascii="宋体" w:hAnsi="宋体" w:cs="宋体"/>
          <w:color w:val="FF0000"/>
          <w:sz w:val="24"/>
          <w:highlight w:val="yellow"/>
          <w:lang w:val="en-US" w:eastAsia="zh-CN"/>
        </w:rPr>
        <w:t>2.完成本项目需增加1组42u规格机柜，由中标方采购，费用由中标方承担。</w:t>
      </w:r>
    </w:p>
    <w:p>
      <w:pPr>
        <w:spacing w:line="360" w:lineRule="auto"/>
        <w:ind w:firstLine="480" w:firstLineChars="200"/>
        <w:rPr>
          <w:rFonts w:hint="default" w:ascii="宋体" w:hAnsi="宋体" w:cs="宋体"/>
          <w:color w:val="FF0000"/>
          <w:sz w:val="24"/>
          <w:highlight w:val="yellow"/>
          <w:lang w:val="en-US" w:eastAsia="zh-CN"/>
        </w:rPr>
      </w:pPr>
      <w:r>
        <w:rPr>
          <w:rFonts w:hint="eastAsia" w:ascii="宋体" w:hAnsi="宋体" w:cs="宋体"/>
          <w:color w:val="FF0000"/>
          <w:sz w:val="24"/>
          <w:highlight w:val="yellow"/>
          <w:lang w:val="en-US" w:eastAsia="zh-CN"/>
        </w:rPr>
        <w:t>3.因项目施工需要，对校园绿化、道路造成的损坏由中标单位负责恢复原样。</w:t>
      </w:r>
    </w:p>
    <w:p>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lang w:val="en-US" w:eastAsia="zh-CN"/>
        </w:rPr>
        <w:t>4.在设备交货前3周，投标人应该通知招标人有关设备安装的环境与安装条件（与要求相适应的场地、电源），以便招标人做好设备安装前的准备工</w:t>
      </w:r>
      <w:r>
        <w:rPr>
          <w:rFonts w:hint="eastAsia" w:ascii="宋体" w:hAnsi="宋体" w:cs="宋体"/>
          <w:color w:val="FF0000"/>
          <w:sz w:val="24"/>
          <w:highlight w:val="none"/>
        </w:rPr>
        <w:t>作。</w:t>
      </w:r>
    </w:p>
    <w:p>
      <w:pPr>
        <w:spacing w:line="360" w:lineRule="auto"/>
        <w:ind w:firstLine="480" w:firstLineChars="200"/>
        <w:rPr>
          <w:rFonts w:ascii="宋体" w:hAnsi="宋体" w:cs="宋体"/>
          <w:color w:val="FF0000"/>
          <w:sz w:val="24"/>
        </w:rPr>
      </w:pPr>
      <w:r>
        <w:rPr>
          <w:rFonts w:hint="eastAsia" w:ascii="宋体" w:hAnsi="宋体" w:cs="宋体"/>
          <w:color w:val="FF0000"/>
          <w:sz w:val="24"/>
          <w:lang w:val="en-US" w:eastAsia="zh-CN"/>
        </w:rPr>
        <w:t>5</w:t>
      </w:r>
      <w:r>
        <w:rPr>
          <w:rFonts w:hint="eastAsia" w:ascii="宋体" w:hAnsi="宋体" w:cs="宋体"/>
          <w:color w:val="FF0000"/>
          <w:sz w:val="24"/>
        </w:rPr>
        <w:t>.货到一周内，投标人免费到招标人现场进行安装调试。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lang w:val="en-US" w:eastAsia="zh-CN"/>
        </w:rPr>
        <w:t>6</w:t>
      </w:r>
      <w:r>
        <w:rPr>
          <w:rFonts w:hint="eastAsia" w:ascii="宋体" w:hAnsi="宋体" w:cs="宋体"/>
          <w:color w:val="FF0000"/>
          <w:sz w:val="24"/>
          <w:szCs w:val="24"/>
        </w:rPr>
        <w:t>.投标人分三次对对招标人进行培训，设备验收前进行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5</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ascii="Times New Roman" w:hAnsi="Times New Roman" w:cs="Times New Roman"/>
          <w:b/>
          <w:i w:val="0"/>
          <w:color w:val="FF0000"/>
          <w:kern w:val="2"/>
          <w:sz w:val="24"/>
          <w:szCs w:val="20"/>
          <w:u w:val="none"/>
          <w:lang w:val="en-US" w:eastAsia="zh-CN" w:bidi="ar"/>
        </w:rPr>
        <w:t>网络硬盘录像机</w:t>
      </w:r>
      <w:r>
        <w:rPr>
          <w:b/>
          <w:color w:val="FF0000"/>
          <w:sz w:val="24"/>
        </w:rPr>
        <w:t>。</w:t>
      </w:r>
    </w:p>
    <w:p>
      <w:pPr>
        <w:spacing w:line="360" w:lineRule="auto"/>
        <w:ind w:firstLine="480" w:firstLineChars="200"/>
        <w:rPr>
          <w:rFonts w:hint="eastAsia" w:eastAsia="宋体"/>
          <w:b/>
          <w:bCs/>
          <w:color w:val="000000"/>
          <w:sz w:val="24"/>
          <w:lang w:eastAsia="zh-CN"/>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lang w:eastAsia="zh-CN"/>
        </w:rPr>
        <w:t>。</w:t>
      </w:r>
    </w:p>
    <w:p>
      <w:pPr>
        <w:spacing w:line="360" w:lineRule="auto"/>
        <w:ind w:firstLine="482" w:firstLineChars="200"/>
        <w:rPr>
          <w:b/>
          <w:color w:val="000000"/>
          <w:kern w:val="0"/>
          <w:sz w:val="24"/>
        </w:rPr>
      </w:pPr>
      <w:r>
        <w:rPr>
          <w:b/>
          <w:color w:val="000000"/>
          <w:kern w:val="0"/>
          <w:sz w:val="24"/>
        </w:rPr>
        <w:t>3.本项目为交钥匙工程，所有运输、包装、搬运、安装、调试、培训</w:t>
      </w:r>
      <w:r>
        <w:rPr>
          <w:rFonts w:hint="eastAsia"/>
          <w:b/>
          <w:color w:val="000000"/>
          <w:kern w:val="0"/>
          <w:sz w:val="24"/>
          <w:lang w:eastAsia="zh-CN"/>
        </w:rPr>
        <w:t>、</w:t>
      </w:r>
      <w:r>
        <w:rPr>
          <w:rFonts w:hint="eastAsia"/>
          <w:b/>
          <w:color w:val="FF0000"/>
          <w:kern w:val="0"/>
          <w:sz w:val="24"/>
          <w:lang w:val="en-US" w:eastAsia="zh-CN"/>
        </w:rPr>
        <w:t>中心机房设备安装所需的机柜</w:t>
      </w:r>
      <w:r>
        <w:rPr>
          <w:b/>
          <w:color w:val="000000"/>
          <w:kern w:val="0"/>
          <w:sz w:val="24"/>
        </w:rPr>
        <w:t>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bookmarkStart w:id="35" w:name="_GoBack"/>
      <w:bookmarkEnd w:id="35"/>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14:textFill>
            <w14:solidFill>
              <w14:schemeClr w14:val="tx1"/>
            </w14:solidFill>
          </w14:textFill>
        </w:rPr>
        <w:t>校园监控设施提升改造</w:t>
      </w:r>
      <w:r>
        <w:rPr>
          <w:rFonts w:hint="eastAsia" w:ascii="宋体" w:hAnsi="宋体" w:eastAsia="宋体" w:cs="宋体"/>
          <w:b/>
          <w:bCs/>
          <w:i w:val="0"/>
          <w:iCs w:val="0"/>
          <w:caps w:val="0"/>
          <w:color w:val="000000" w:themeColor="text1"/>
          <w:spacing w:val="0"/>
          <w:sz w:val="28"/>
          <w:szCs w:val="28"/>
          <w:shd w:val="clear"/>
          <w:lang w:val="en-US" w:eastAsia="zh-CN"/>
          <w14:textFill>
            <w14:solidFill>
              <w14:schemeClr w14:val="tx1"/>
            </w14:solidFill>
          </w14:textFill>
        </w:rPr>
        <w:t>项目</w:t>
      </w:r>
      <w:r>
        <w:rPr>
          <w:rFonts w:hint="eastAsia" w:ascii="宋体" w:hAnsi="宋体" w:eastAsia="宋体" w:cs="宋体"/>
          <w:b/>
          <w:bCs/>
          <w:color w:val="000000" w:themeColor="text1"/>
          <w:sz w:val="28"/>
          <w:szCs w:val="28"/>
          <w14:textFill>
            <w14:solidFill>
              <w14:schemeClr w14:val="tx1"/>
            </w14:solidFill>
          </w14:textFill>
        </w:rPr>
        <w:t>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bCs/>
          <w:color w:val="000000"/>
          <w:sz w:val="24"/>
          <w:highlight w:val="none"/>
          <w:lang w:val="en-US" w:eastAsia="zh-CN"/>
        </w:rPr>
        <w:t>校园监控设备</w:t>
      </w:r>
      <w:r>
        <w:rPr>
          <w:rFonts w:hint="eastAsia"/>
          <w:color w:val="000000" w:themeColor="text1"/>
          <w:kern w:val="2"/>
          <w14:textFill>
            <w14:solidFill>
              <w14:schemeClr w14:val="tx1"/>
            </w14:solidFill>
          </w14:textFill>
        </w:rPr>
        <w:t>一套，经双方协商一致本着平等自愿的原则签订本合同。</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26"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7"/>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7"/>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7"/>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3</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ascii="宋体" w:hAnsi="宋体" w:eastAsia="宋体" w:cs="Times New Roman"/>
          <w:b/>
          <w:bCs/>
          <w:color w:val="FF0000"/>
          <w:sz w:val="24"/>
          <w:szCs w:val="24"/>
          <w:highlight w:val="yellow"/>
          <w:lang w:val="en-US" w:eastAsia="zh-CN"/>
        </w:rPr>
        <w:t>60个月</w:t>
      </w:r>
      <w:r>
        <w:rPr>
          <w:rFonts w:hint="eastAsia" w:hAnsi="宋体"/>
          <w:color w:val="000000" w:themeColor="text1"/>
          <w:sz w:val="24"/>
          <w:szCs w:val="24"/>
          <w14:textFill>
            <w14:solidFill>
              <w14:schemeClr w14:val="tx1"/>
            </w14:solidFill>
          </w14:textFill>
        </w:rPr>
        <w:t>。如因甲方原因导致不能及时安装的，产品的质保期自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验收通过之日开始计算。质保期内乙方提供免费保修、技术支持和售后服务。</w:t>
      </w:r>
    </w:p>
    <w:p>
      <w:pPr>
        <w:pStyle w:val="11"/>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7"/>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highlight w:val="yellow"/>
          <w:lang w:val="en-US" w:eastAsia="zh-CN"/>
        </w:rPr>
        <w:t>60</w:t>
      </w:r>
      <w:r>
        <w:rPr>
          <w:rFonts w:hint="eastAsia" w:ascii="宋体" w:hAnsi="宋体"/>
          <w:b/>
          <w:bCs/>
          <w:color w:val="FF0000"/>
          <w:kern w:val="0"/>
          <w:sz w:val="24"/>
          <w:highlight w:val="yellow"/>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pStyle w:val="17"/>
        <w:tabs>
          <w:tab w:val="right" w:pos="8312"/>
        </w:tabs>
        <w:spacing w:before="0" w:beforeAutospacing="0" w:after="0" w:afterAutospacing="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7"/>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3"/>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7"/>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keepNext w:val="0"/>
        <w:keepLines w:val="0"/>
        <w:pageBreakBefore w:val="0"/>
        <w:widowControl w:val="0"/>
        <w:kinsoku/>
        <w:wordWrap/>
        <w:overflowPunct/>
        <w:topLinePunct w:val="0"/>
        <w:bidi w:val="0"/>
        <w:spacing w:line="360" w:lineRule="auto"/>
        <w:jc w:val="center"/>
        <w:textAlignment w:val="auto"/>
        <w:outlineLvl w:val="0"/>
        <w:rPr>
          <w:rStyle w:val="28"/>
          <w:rFonts w:hint="eastAsia" w:asciiTheme="minorHAnsi" w:hAnsiTheme="minorHAnsi" w:cstheme="minorBidi"/>
          <w:bCs w:val="0"/>
        </w:rPr>
      </w:pPr>
      <w:bookmarkStart w:id="12" w:name="_Toc19074"/>
      <w:r>
        <w:rPr>
          <w:rStyle w:val="28"/>
          <w:rFonts w:hint="eastAsia" w:asciiTheme="minorHAnsi" w:hAnsiTheme="minorHAnsi" w:cstheme="minorBidi"/>
          <w:bCs w:val="0"/>
        </w:rPr>
        <w:t>第五章  评标办法及开标程序</w:t>
      </w:r>
      <w:bookmarkEnd w:id="11"/>
      <w:bookmarkEnd w:id="12"/>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sz w:val="24"/>
        </w:rPr>
      </w:pPr>
      <w:r>
        <w:rPr>
          <w:rFonts w:hint="eastAsia" w:ascii="宋体" w:hAnsi="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sz w:val="24"/>
        </w:rPr>
      </w:pPr>
      <w:r>
        <w:rPr>
          <w:rFonts w:hint="eastAsia" w:ascii="宋体" w:hAnsi="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7. 如投标人总分相同，按投标报价低者为中标侯选单位。</w:t>
      </w:r>
    </w:p>
    <w:p>
      <w:pPr>
        <w:pStyle w:val="23"/>
        <w:keepNext w:val="0"/>
        <w:keepLines w:val="0"/>
        <w:pageBreakBefore w:val="0"/>
        <w:widowControl w:val="0"/>
        <w:kinsoku/>
        <w:wordWrap/>
        <w:overflowPunct/>
        <w:topLinePunct w:val="0"/>
        <w:bidi w:val="0"/>
        <w:snapToGrid w:val="0"/>
        <w:spacing w:line="360" w:lineRule="auto"/>
        <w:ind w:firstLine="482"/>
        <w:textAlignment w:val="auto"/>
        <w:rPr>
          <w:rFonts w:hAnsi="宋体" w:cs="宋体"/>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8"/>
        <w:tblW w:w="8245" w:type="dxa"/>
        <w:tblInd w:w="0" w:type="dxa"/>
        <w:shd w:val="clear" w:color="auto" w:fill="auto"/>
        <w:tblLayout w:type="fixed"/>
        <w:tblCellMar>
          <w:top w:w="0" w:type="dxa"/>
          <w:left w:w="0" w:type="dxa"/>
          <w:bottom w:w="0" w:type="dxa"/>
          <w:right w:w="0" w:type="dxa"/>
        </w:tblCellMar>
      </w:tblPr>
      <w:tblGrid>
        <w:gridCol w:w="1102"/>
        <w:gridCol w:w="1080"/>
        <w:gridCol w:w="4867"/>
        <w:gridCol w:w="1196"/>
      </w:tblGrid>
      <w:tr>
        <w:tblPrEx>
          <w:shd w:val="clear" w:color="auto" w:fill="auto"/>
          <w:tblCellMar>
            <w:top w:w="0" w:type="dxa"/>
            <w:left w:w="0" w:type="dxa"/>
            <w:bottom w:w="0" w:type="dxa"/>
            <w:right w:w="0" w:type="dxa"/>
          </w:tblCellMar>
        </w:tblPrEx>
        <w:trPr>
          <w:trHeight w:val="501"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细则</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细则内容</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r>
      <w:tr>
        <w:tblPrEx>
          <w:shd w:val="clear" w:color="auto" w:fill="auto"/>
          <w:tblCellMar>
            <w:top w:w="0" w:type="dxa"/>
            <w:left w:w="0" w:type="dxa"/>
            <w:bottom w:w="0" w:type="dxa"/>
            <w:right w:w="0" w:type="dxa"/>
          </w:tblCellMar>
        </w:tblPrEx>
        <w:trPr>
          <w:trHeight w:val="21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投标报价</w:t>
            </w:r>
          </w:p>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投标报价</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b/>
                <w:bCs/>
                <w:color w:val="000000"/>
                <w:szCs w:val="21"/>
              </w:rPr>
              <w:t>本次采购项目预算：</w:t>
            </w:r>
            <w:r>
              <w:rPr>
                <w:rFonts w:hint="eastAsia" w:ascii="宋体" w:hAnsi="宋体" w:cs="宋体"/>
                <w:b/>
                <w:bCs/>
                <w:color w:val="000000"/>
                <w:kern w:val="0"/>
                <w:sz w:val="24"/>
                <w:highlight w:val="none"/>
                <w:lang w:val="en-US" w:eastAsia="zh-CN"/>
              </w:rPr>
              <w:t>49.6</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color w:val="000000"/>
                <w:szCs w:val="21"/>
                <w:lang w:eastAsia="zh-CN"/>
              </w:rPr>
              <w:t>（</w:t>
            </w:r>
            <w:r>
              <w:rPr>
                <w:rFonts w:hint="eastAsia" w:ascii="宋体" w:hAnsi="宋体" w:cs="宋体"/>
                <w:color w:val="000000"/>
                <w:szCs w:val="21"/>
                <w:lang w:val="en-US" w:eastAsia="zh-CN"/>
              </w:rPr>
              <w:t>0-30分</w:t>
            </w:r>
            <w:r>
              <w:rPr>
                <w:rFonts w:hint="eastAsia" w:ascii="宋体" w:hAnsi="宋体" w:cs="宋体"/>
                <w:color w:val="000000"/>
                <w:szCs w:val="21"/>
                <w:lang w:eastAsia="zh-CN"/>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r>
      <w:tr>
        <w:tblPrEx>
          <w:shd w:val="clear" w:color="auto" w:fill="auto"/>
          <w:tblCellMar>
            <w:top w:w="0" w:type="dxa"/>
            <w:left w:w="0" w:type="dxa"/>
            <w:bottom w:w="0" w:type="dxa"/>
            <w:right w:w="0" w:type="dxa"/>
          </w:tblCellMar>
        </w:tblPrEx>
        <w:trPr>
          <w:trHeight w:val="2120" w:hRule="atLeast"/>
        </w:trPr>
        <w:tc>
          <w:tcPr>
            <w:tcW w:w="110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商务技术</w:t>
            </w:r>
          </w:p>
          <w:p>
            <w:pPr>
              <w:widowControl/>
              <w:spacing w:beforeLines="-2147483648" w:afterLines="-2147483648" w:line="240" w:lineRule="auto"/>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宋体" w:hAnsi="宋体" w:cs="宋体"/>
                <w:i w:val="0"/>
                <w:color w:val="000000"/>
                <w:kern w:val="0"/>
                <w:sz w:val="20"/>
                <w:szCs w:val="20"/>
                <w:u w:val="none"/>
                <w:lang w:val="en-US" w:eastAsia="zh-CN" w:bidi="ar"/>
              </w:rPr>
              <w:t>70</w:t>
            </w:r>
            <w:r>
              <w:rPr>
                <w:rFonts w:hint="eastAsia" w:ascii="宋体" w:hAnsi="宋体" w:eastAsia="宋体" w:cs="宋体"/>
                <w:i w:val="0"/>
                <w:color w:val="000000"/>
                <w:kern w:val="0"/>
                <w:sz w:val="20"/>
                <w:szCs w:val="20"/>
                <w:u w:val="none"/>
                <w:lang w:val="en-US" w:eastAsia="zh-CN" w:bidi="ar"/>
              </w:rPr>
              <w:t>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2147483648" w:afterLines="-2147483648" w:line="240" w:lineRule="auto"/>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Theme="minorEastAsia" w:hAnsiTheme="minorEastAsia" w:eastAsiaTheme="minorEastAsia" w:cstheme="minorEastAsia"/>
                <w:color w:val="000000"/>
                <w:sz w:val="20"/>
                <w:szCs w:val="20"/>
              </w:rPr>
              <w:t>体系认证</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2147483648" w:afterLines="-2147483648" w:line="240" w:lineRule="auto"/>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投标人具有职业健康安全管理体系认证证书、环境管理体系认证证书、质量管理体系认证证书、信息技术服务管理体系认证证书、信息安全管理体系认证证书的每个得1分，最高得5分。（</w:t>
            </w:r>
            <w:r>
              <w:rPr>
                <w:rFonts w:hint="eastAsia" w:asciiTheme="minorEastAsia" w:hAnsiTheme="minorEastAsia" w:eastAsiaTheme="minorEastAsia" w:cstheme="minorEastAsia"/>
                <w:bCs w:val="0"/>
                <w:color w:val="000000"/>
                <w:sz w:val="20"/>
                <w:szCs w:val="20"/>
              </w:rPr>
              <w:t>以上提供相关证书复印件及原件，否则不得分</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lang w:val="en-US" w:eastAsia="zh-CN"/>
              </w:rPr>
              <w:t>0-5分</w:t>
            </w:r>
            <w:r>
              <w:rPr>
                <w:rFonts w:hint="eastAsia" w:asciiTheme="minorEastAsia" w:hAnsiTheme="minorEastAsia" w:eastAsiaTheme="minorEastAsia" w:cstheme="minorEastAsia"/>
                <w:color w:val="000000"/>
                <w:sz w:val="20"/>
                <w:szCs w:val="20"/>
                <w:lang w:eastAsia="zh-CN"/>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Theme="minorEastAsia" w:hAnsiTheme="minorEastAsia" w:eastAsiaTheme="minorEastAsia" w:cstheme="minorEastAsia"/>
                <w:color w:val="000000"/>
                <w:sz w:val="20"/>
                <w:szCs w:val="20"/>
              </w:rPr>
              <w:t>5分</w:t>
            </w:r>
          </w:p>
        </w:tc>
      </w:tr>
      <w:tr>
        <w:tblPrEx>
          <w:shd w:val="clear" w:color="auto" w:fill="auto"/>
          <w:tblCellMar>
            <w:top w:w="0" w:type="dxa"/>
            <w:left w:w="0" w:type="dxa"/>
            <w:bottom w:w="0" w:type="dxa"/>
            <w:right w:w="0" w:type="dxa"/>
          </w:tblCellMar>
        </w:tblPrEx>
        <w:trPr>
          <w:trHeight w:val="1785"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案例</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FF0000"/>
                <w:szCs w:val="21"/>
              </w:rPr>
            </w:pPr>
            <w:r>
              <w:rPr>
                <w:rFonts w:hint="eastAsia" w:ascii="宋体" w:hAnsi="宋体" w:cs="宋体"/>
                <w:color w:val="FF0000"/>
                <w:szCs w:val="21"/>
              </w:rPr>
              <w:t>投标人自</w:t>
            </w:r>
            <w:r>
              <w:rPr>
                <w:rFonts w:hint="eastAsia" w:ascii="宋体" w:hAnsi="宋体" w:cs="宋体"/>
                <w:color w:val="FF0000"/>
                <w:szCs w:val="21"/>
                <w:highlight w:val="yellow"/>
              </w:rPr>
              <w:t>20</w:t>
            </w:r>
            <w:r>
              <w:rPr>
                <w:rFonts w:hint="eastAsia" w:ascii="宋体" w:hAnsi="宋体" w:cs="宋体"/>
                <w:color w:val="FF0000"/>
                <w:szCs w:val="21"/>
                <w:highlight w:val="yellow"/>
                <w:lang w:val="en-US" w:eastAsia="zh-CN"/>
              </w:rPr>
              <w:t>21</w:t>
            </w:r>
            <w:r>
              <w:rPr>
                <w:rFonts w:hint="eastAsia" w:ascii="宋体" w:hAnsi="宋体" w:cs="宋体"/>
                <w:color w:val="FF0000"/>
                <w:szCs w:val="21"/>
                <w:highlight w:val="yellow"/>
              </w:rPr>
              <w:t>年1月1日</w:t>
            </w:r>
            <w:r>
              <w:rPr>
                <w:rFonts w:hint="eastAsia" w:ascii="宋体" w:hAnsi="宋体" w:cs="宋体"/>
                <w:color w:val="FF0000"/>
                <w:szCs w:val="21"/>
              </w:rPr>
              <w:t>以来至今（以合同签订时间为准）同类项目成功实施案例：每提供一个有效合同原件的</w:t>
            </w:r>
            <w:r>
              <w:rPr>
                <w:rFonts w:hint="eastAsia" w:ascii="宋体" w:hAnsi="宋体" w:cs="宋体"/>
                <w:color w:val="FF0000"/>
                <w:szCs w:val="21"/>
                <w:lang w:val="en-US" w:eastAsia="zh-CN"/>
              </w:rPr>
              <w:t>复印</w:t>
            </w:r>
            <w:r>
              <w:rPr>
                <w:rFonts w:hint="eastAsia" w:ascii="宋体" w:hAnsi="宋体" w:cs="宋体"/>
                <w:color w:val="FF0000"/>
                <w:szCs w:val="21"/>
              </w:rPr>
              <w:t>件得1分，最高得</w:t>
            </w:r>
            <w:r>
              <w:rPr>
                <w:rFonts w:hint="eastAsia" w:ascii="宋体" w:hAnsi="宋体" w:cs="宋体"/>
                <w:color w:val="FF0000"/>
                <w:szCs w:val="21"/>
                <w:lang w:val="en-US" w:eastAsia="zh-CN"/>
              </w:rPr>
              <w:t>3</w:t>
            </w:r>
            <w:r>
              <w:rPr>
                <w:rFonts w:hint="eastAsia" w:ascii="宋体" w:hAnsi="宋体" w:cs="宋体"/>
                <w:color w:val="FF0000"/>
                <w:szCs w:val="21"/>
              </w:rPr>
              <w:t>分。</w:t>
            </w:r>
            <w:r>
              <w:rPr>
                <w:rFonts w:hint="eastAsia" w:ascii="宋体" w:hAnsi="宋体" w:eastAsia="宋体" w:cs="宋体"/>
                <w:color w:val="FF0000"/>
                <w:szCs w:val="21"/>
              </w:rPr>
              <w:t>合同原件带至现场备查，无合同原件不得分。</w:t>
            </w:r>
            <w:r>
              <w:rPr>
                <w:rFonts w:hint="eastAsia" w:ascii="宋体" w:hAnsi="宋体" w:cs="宋体"/>
                <w:color w:val="FF0000"/>
                <w:szCs w:val="21"/>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FF0000"/>
                <w:szCs w:val="21"/>
              </w:rPr>
              <w:t>）（0-3分）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1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节能环保</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2分</w:t>
            </w:r>
          </w:p>
        </w:tc>
      </w:tr>
      <w:tr>
        <w:tblPrEx>
          <w:shd w:val="clear" w:color="auto" w:fill="auto"/>
          <w:tblCellMar>
            <w:top w:w="0" w:type="dxa"/>
            <w:left w:w="0" w:type="dxa"/>
            <w:bottom w:w="0" w:type="dxa"/>
            <w:right w:w="0" w:type="dxa"/>
          </w:tblCellMar>
        </w:tblPrEx>
        <w:trPr>
          <w:trHeight w:val="10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总体设计</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w:t>
            </w:r>
            <w:r>
              <w:rPr>
                <w:rFonts w:hint="eastAsia" w:ascii="宋体" w:hAnsi="宋体" w:eastAsia="宋体" w:cs="宋体"/>
                <w:i w:val="0"/>
                <w:color w:val="000000"/>
                <w:kern w:val="0"/>
                <w:sz w:val="20"/>
                <w:szCs w:val="20"/>
                <w:u w:val="none"/>
                <w:lang w:val="en-US" w:eastAsia="zh-CN" w:bidi="ar"/>
              </w:rPr>
              <w:t>投标人提供的</w:t>
            </w:r>
            <w:r>
              <w:rPr>
                <w:rFonts w:hint="eastAsia" w:ascii="宋体" w:hAnsi="宋体" w:cs="宋体"/>
                <w:i w:val="0"/>
                <w:color w:val="000000"/>
                <w:kern w:val="0"/>
                <w:sz w:val="20"/>
                <w:szCs w:val="20"/>
                <w:u w:val="none"/>
                <w:lang w:val="en-US" w:eastAsia="zh-CN" w:bidi="ar"/>
              </w:rPr>
              <w:t>总体设计方案进行综合评分：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总体架构与项目需求相契合，业务流程和应用模式先进、安全、稳定、可扩展性丰富</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提供的系统功能模块与项目需求基本契合的得</w:t>
            </w:r>
            <w:r>
              <w:rPr>
                <w:rFonts w:hint="default" w:ascii="宋体" w:hAnsi="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w:t>
            </w:r>
            <w:r>
              <w:rPr>
                <w:rFonts w:hint="default"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业务流程和应用模式基本安全、稳定、可扩展性单一的得</w:t>
            </w:r>
            <w:r>
              <w:rPr>
                <w:rFonts w:hint="default" w:ascii="宋体" w:hAnsi="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分；提供的系统功能模块与项目需求不契合，业务流程和应用模式不安全、不稳定、无可扩展性的得</w:t>
            </w:r>
            <w:r>
              <w:rPr>
                <w:rFonts w:hint="eastAsia" w:ascii="宋体" w:hAnsi="宋体" w:cs="宋体"/>
                <w:i w:val="0"/>
                <w:color w:val="000000"/>
                <w:kern w:val="0"/>
                <w:sz w:val="20"/>
                <w:szCs w:val="20"/>
                <w:u w:val="none"/>
                <w:lang w:val="en-US" w:eastAsia="zh-CN" w:bidi="ar"/>
              </w:rPr>
              <w:t>0-3（不含）</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（0-7分）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0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根据投标人提供的完整集成方案进行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方案设计合理、技术先进、可靠、开放、实用、安全、经济、实际应用规模广、对客户需求理解准确的，得</w:t>
            </w: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分；方案设计基本合理、技术一般、基本实用、</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54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技术方案</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安全、实际应用规模一般、对客户需求理解基本准确的，得</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分；方案设计欠缺、技术落后、安全性不稳定、实际应用规模小、对客户需求理解不准确的，得0-</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（0-7分）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实施</w:t>
            </w:r>
            <w:r>
              <w:rPr>
                <w:rFonts w:hint="eastAsia" w:ascii="宋体" w:hAnsi="宋体" w:eastAsia="宋体" w:cs="宋体"/>
                <w:i w:val="0"/>
                <w:color w:val="000000"/>
                <w:kern w:val="0"/>
                <w:sz w:val="20"/>
                <w:szCs w:val="20"/>
                <w:u w:val="none"/>
                <w:lang w:val="en-US" w:eastAsia="zh-CN" w:bidi="ar"/>
              </w:rPr>
              <w:t>方案</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w:t>
            </w:r>
            <w:r>
              <w:rPr>
                <w:rFonts w:hint="eastAsia" w:ascii="宋体" w:hAnsi="宋体" w:cs="宋体"/>
                <w:i w:val="0"/>
                <w:color w:val="000000"/>
                <w:kern w:val="0"/>
                <w:sz w:val="20"/>
                <w:szCs w:val="20"/>
                <w:u w:val="none"/>
                <w:lang w:val="en-US" w:eastAsia="zh-CN" w:bidi="ar"/>
              </w:rPr>
              <w:t>实施</w:t>
            </w:r>
            <w:r>
              <w:rPr>
                <w:rFonts w:hint="eastAsia" w:ascii="宋体" w:hAnsi="宋体" w:eastAsia="宋体" w:cs="宋体"/>
                <w:i w:val="0"/>
                <w:color w:val="000000"/>
                <w:kern w:val="0"/>
                <w:sz w:val="20"/>
                <w:szCs w:val="20"/>
                <w:u w:val="none"/>
                <w:lang w:val="en-US" w:eastAsia="zh-CN" w:bidi="ar"/>
              </w:rPr>
              <w:t>总体部署方案、准备计划方案、调试技术方案、确保质量方案、计划度表、工序流程及确保进度的组织方案、文明及安全</w:t>
            </w:r>
            <w:r>
              <w:rPr>
                <w:rFonts w:hint="eastAsia" w:ascii="宋体" w:hAnsi="宋体" w:cs="宋体"/>
                <w:i w:val="0"/>
                <w:color w:val="000000"/>
                <w:kern w:val="0"/>
                <w:sz w:val="20"/>
                <w:szCs w:val="20"/>
                <w:u w:val="none"/>
                <w:lang w:val="en-US" w:eastAsia="zh-CN" w:bidi="ar"/>
              </w:rPr>
              <w:t>实施项目</w:t>
            </w:r>
            <w:r>
              <w:rPr>
                <w:rFonts w:hint="eastAsia" w:ascii="宋体" w:hAnsi="宋体" w:eastAsia="宋体" w:cs="宋体"/>
                <w:i w:val="0"/>
                <w:color w:val="000000"/>
                <w:kern w:val="0"/>
                <w:sz w:val="20"/>
                <w:szCs w:val="20"/>
                <w:u w:val="none"/>
                <w:lang w:val="en-US" w:eastAsia="zh-CN" w:bidi="ar"/>
              </w:rPr>
              <w:t>方案等方面进行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方案科学合理、安全严密、条理清晰、完善、重点突出、专业性强的得</w:t>
            </w: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分；方案基本合理、安全可行、具有一定条理、基本完善、专业性一般的得</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分；方案不够合理、可操作性不强的得0-</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分。0-</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8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配置参数</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技术参数完全满足招标文件要求的得</w:t>
            </w: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分；打▲号指标为实质性要求，如有负偏离将作为无效投标；打“★”有负偏离的每项扣1分，扣完为止；其他指标，有负偏离且评委认为有影响的每项扣0.5分，扣完为止。（0-24分）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3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售后服务、维保方案</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根据投标人提供的售后服务、维保方案（包括保修年限，保修部件范围，保修、服务标准，人员配备，故障响应修复时间方式及保障措施）等方面进行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方案全面完善、配备合理、响应迅速、措施可行性强的得</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分；方案基本完善、配备基本合理、响应时间及措施具有可行性的得</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分；方案不够合理，可行性不强的得0-</w:t>
            </w:r>
            <w:r>
              <w:rPr>
                <w:rFonts w:hint="eastAsia" w:ascii="宋体" w:hAnsi="宋体" w:cs="宋体"/>
                <w:i w:val="0"/>
                <w:color w:val="000000"/>
                <w:kern w:val="0"/>
                <w:sz w:val="20"/>
                <w:szCs w:val="20"/>
                <w:u w:val="none"/>
                <w:lang w:val="en-US" w:eastAsia="zh-CN" w:bidi="ar"/>
              </w:rPr>
              <w:t>4（不含）</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（0-7分）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501"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根据投标人提供的培训内容、期限、形式和费用等方面进行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全面合理的得</w:t>
            </w:r>
            <w:r>
              <w:rPr>
                <w:rFonts w:hint="default" w:ascii="宋体" w:hAnsi="宋体" w:cs="宋体"/>
                <w:i w:val="0"/>
                <w:color w:val="000000"/>
                <w:kern w:val="0"/>
                <w:sz w:val="20"/>
                <w:szCs w:val="20"/>
                <w:u w:val="none"/>
                <w:lang w:eastAsia="zh-CN" w:bidi="ar"/>
              </w:rPr>
              <w:t>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分；基本合理的得</w:t>
            </w:r>
            <w:r>
              <w:rPr>
                <w:rFonts w:hint="default" w:ascii="宋体" w:hAnsi="宋体" w:cs="宋体"/>
                <w:i w:val="0"/>
                <w:color w:val="000000"/>
                <w:kern w:val="0"/>
                <w:sz w:val="20"/>
                <w:szCs w:val="20"/>
                <w:u w:val="none"/>
                <w:lang w:eastAsia="zh-CN" w:bidi="ar"/>
              </w:rPr>
              <w:t>1-</w:t>
            </w:r>
            <w:r>
              <w:rPr>
                <w:rFonts w:hint="eastAsia" w:ascii="宋体" w:hAnsi="宋体" w:cs="宋体"/>
                <w:i w:val="0"/>
                <w:color w:val="000000"/>
                <w:kern w:val="0"/>
                <w:sz w:val="20"/>
                <w:szCs w:val="20"/>
                <w:u w:val="none"/>
                <w:lang w:val="en-US" w:eastAsia="zh-CN" w:bidi="ar"/>
              </w:rPr>
              <w:t>2</w:t>
            </w:r>
            <w:r>
              <w:rPr>
                <w:rFonts w:hint="default" w:ascii="宋体" w:hAnsi="宋体" w:cs="宋体"/>
                <w:i w:val="0"/>
                <w:color w:val="000000"/>
                <w:kern w:val="0"/>
                <w:sz w:val="20"/>
                <w:szCs w:val="20"/>
                <w:u w:val="none"/>
                <w:lang w:eastAsia="zh-CN" w:bidi="ar"/>
              </w:rPr>
              <w:t>（</w:t>
            </w:r>
            <w:r>
              <w:rPr>
                <w:rFonts w:hint="eastAsia" w:ascii="宋体" w:hAnsi="宋体" w:cs="宋体"/>
                <w:i w:val="0"/>
                <w:color w:val="000000"/>
                <w:kern w:val="0"/>
                <w:sz w:val="20"/>
                <w:szCs w:val="20"/>
                <w:u w:val="none"/>
                <w:lang w:val="en-US" w:eastAsia="zh-Hans" w:bidi="ar"/>
              </w:rPr>
              <w:t>不含</w:t>
            </w:r>
            <w:r>
              <w:rPr>
                <w:rFonts w:hint="default" w:ascii="宋体" w:hAnsi="宋体" w:cs="宋体"/>
                <w:i w:val="0"/>
                <w:color w:val="000000"/>
                <w:kern w:val="0"/>
                <w:sz w:val="20"/>
                <w:szCs w:val="20"/>
                <w:u w:val="none"/>
                <w:lang w:eastAsia="zh-Hans" w:bidi="ar"/>
              </w:rPr>
              <w:t>）</w:t>
            </w:r>
            <w:r>
              <w:rPr>
                <w:rFonts w:hint="eastAsia" w:ascii="宋体" w:hAnsi="宋体" w:eastAsia="宋体" w:cs="宋体"/>
                <w:i w:val="0"/>
                <w:color w:val="000000"/>
                <w:kern w:val="0"/>
                <w:sz w:val="20"/>
                <w:szCs w:val="20"/>
                <w:u w:val="none"/>
                <w:lang w:val="en-US" w:eastAsia="zh-CN" w:bidi="ar"/>
              </w:rPr>
              <w:t>分；不够合理、明显欠缺的得0-1</w:t>
            </w:r>
            <w:r>
              <w:rPr>
                <w:rFonts w:hint="default" w:ascii="宋体" w:hAnsi="宋体" w:cs="宋体"/>
                <w:i w:val="0"/>
                <w:color w:val="000000"/>
                <w:kern w:val="0"/>
                <w:sz w:val="20"/>
                <w:szCs w:val="20"/>
                <w:u w:val="none"/>
                <w:lang w:eastAsia="zh-CN" w:bidi="ar"/>
              </w:rPr>
              <w:t>（</w:t>
            </w:r>
            <w:r>
              <w:rPr>
                <w:rFonts w:hint="eastAsia" w:ascii="宋体" w:hAnsi="宋体" w:cs="宋体"/>
                <w:i w:val="0"/>
                <w:color w:val="000000"/>
                <w:kern w:val="0"/>
                <w:sz w:val="20"/>
                <w:szCs w:val="20"/>
                <w:u w:val="none"/>
                <w:lang w:val="en-US" w:eastAsia="zh-Hans" w:bidi="ar"/>
              </w:rPr>
              <w:t>不含</w:t>
            </w:r>
            <w:r>
              <w:rPr>
                <w:rFonts w:hint="default" w:ascii="宋体" w:hAnsi="宋体" w:cs="宋体"/>
                <w:i w:val="0"/>
                <w:color w:val="000000"/>
                <w:kern w:val="0"/>
                <w:sz w:val="20"/>
                <w:szCs w:val="20"/>
                <w:u w:val="none"/>
                <w:lang w:eastAsia="zh-Hans" w:bidi="ar"/>
              </w:rPr>
              <w:t>）</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（0-3分）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501" w:hRule="atLeast"/>
        </w:trPr>
        <w:tc>
          <w:tcPr>
            <w:tcW w:w="11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合理化建议</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w:t>
            </w:r>
            <w:r>
              <w:rPr>
                <w:rFonts w:hint="eastAsia" w:ascii="宋体" w:hAnsi="宋体" w:eastAsia="宋体" w:cs="宋体"/>
                <w:i w:val="0"/>
                <w:color w:val="000000"/>
                <w:kern w:val="0"/>
                <w:sz w:val="20"/>
                <w:szCs w:val="20"/>
                <w:u w:val="none"/>
                <w:lang w:val="en-US" w:eastAsia="zh-CN" w:bidi="ar"/>
              </w:rPr>
              <w:t>投标人的合理化建议</w:t>
            </w:r>
            <w:r>
              <w:rPr>
                <w:rFonts w:hint="eastAsia" w:ascii="宋体" w:hAnsi="宋体" w:cs="宋体"/>
                <w:i w:val="0"/>
                <w:color w:val="000000"/>
                <w:kern w:val="0"/>
                <w:sz w:val="20"/>
                <w:szCs w:val="20"/>
                <w:u w:val="none"/>
                <w:lang w:val="en-US" w:eastAsia="zh-CN" w:bidi="ar"/>
              </w:rPr>
              <w:t>进行综合评分：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建议</w:t>
            </w:r>
            <w:r>
              <w:rPr>
                <w:rFonts w:hint="eastAsia" w:ascii="宋体" w:hAnsi="宋体" w:eastAsia="宋体" w:cs="宋体"/>
                <w:i w:val="0"/>
                <w:color w:val="000000"/>
                <w:kern w:val="0"/>
                <w:sz w:val="20"/>
                <w:szCs w:val="20"/>
                <w:u w:val="none"/>
                <w:lang w:val="en-US" w:eastAsia="zh-CN" w:bidi="ar"/>
              </w:rPr>
              <w:t>有利于项目建设，对系统运行、使用有明显提升作用的得</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分；建议对项目建设、系统运行及使用具有一定作用的得0.5-</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分；建议不够合理的不得分。</w:t>
            </w:r>
            <w:r>
              <w:rPr>
                <w:rFonts w:hint="eastAsia" w:ascii="宋体" w:hAnsi="宋体" w:cs="宋体"/>
                <w:i w:val="0"/>
                <w:color w:val="000000"/>
                <w:kern w:val="0"/>
                <w:sz w:val="20"/>
                <w:szCs w:val="20"/>
                <w:u w:val="none"/>
                <w:lang w:val="en-US" w:eastAsia="zh-CN" w:bidi="ar"/>
              </w:rPr>
              <w:t>（0-5分）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both"/>
        <w:outlineLvl w:val="0"/>
        <w:rPr>
          <w:rStyle w:val="28"/>
          <w:rFonts w:hint="eastAsia" w:asciiTheme="minorHAnsi" w:hAnsiTheme="minorHAnsi" w:cstheme="minorBidi"/>
        </w:rPr>
      </w:pPr>
      <w:bookmarkStart w:id="13" w:name="_Toc12349"/>
      <w:bookmarkStart w:id="14" w:name="_Toc26680"/>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r>
        <w:rPr>
          <w:rStyle w:val="28"/>
          <w:rFonts w:hint="eastAsia" w:asciiTheme="minorHAnsi" w:hAnsiTheme="minorHAnsi" w:cstheme="minorBidi"/>
        </w:rPr>
        <w:t>第六章 应提交的有关材料格式范例</w:t>
      </w:r>
      <w:bookmarkEnd w:id="13"/>
      <w:bookmarkEnd w:id="14"/>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5" w:name="_Toc5573"/>
      <w:bookmarkStart w:id="16" w:name="_Toc8741"/>
      <w:r>
        <w:rPr>
          <w:rFonts w:hint="eastAsia" w:ascii="宋体" w:hAnsi="宋体" w:cs="宋体"/>
          <w:b/>
          <w:bCs/>
          <w:color w:val="000000"/>
          <w:spacing w:val="20"/>
          <w:sz w:val="32"/>
        </w:rPr>
        <w:t>投标文件外包装封面格式</w:t>
      </w:r>
      <w:bookmarkEnd w:id="15"/>
      <w:bookmarkEnd w:id="16"/>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衢院招2024-13</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衢院招2024-13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color w:val="000000"/>
          <w:spacing w:val="20"/>
          <w:sz w:val="32"/>
          <w:szCs w:val="32"/>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pacing w:line="420" w:lineRule="exact"/>
        <w:rPr>
          <w:rFonts w:hint="eastAsia" w:ascii="宋体" w:hAnsi="宋体" w:eastAsia="宋体" w:cs="宋体"/>
          <w:bCs/>
          <w:sz w:val="32"/>
          <w:szCs w:val="32"/>
          <w:lang w:eastAsia="zh-CN"/>
        </w:rPr>
      </w:pP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7" w:name="_Toc30502"/>
      <w:bookmarkStart w:id="18" w:name="_Toc12336"/>
      <w:r>
        <w:rPr>
          <w:rFonts w:hint="eastAsia" w:ascii="宋体" w:hAnsi="宋体" w:cs="宋体"/>
          <w:b/>
          <w:bCs/>
          <w:sz w:val="32"/>
          <w:szCs w:val="32"/>
          <w:lang w:val="zh-CN"/>
        </w:rPr>
        <w:t>投 标 函</w:t>
      </w:r>
      <w:bookmarkEnd w:id="17"/>
      <w:bookmarkEnd w:id="18"/>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keepNext w:val="0"/>
        <w:keepLines w:val="0"/>
        <w:pageBreakBefore w:val="0"/>
        <w:widowControl/>
        <w:kinsoku/>
        <w:wordWrap/>
        <w:overflowPunct/>
        <w:topLinePunct w:val="0"/>
        <w:bidi w:val="0"/>
        <w:snapToGrid/>
        <w:spacing w:line="360" w:lineRule="auto"/>
        <w:textAlignment w:val="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eastAsia="宋体" w:cs="宋体"/>
          <w:b/>
          <w:bCs w:val="0"/>
          <w:i w:val="0"/>
          <w:iCs w:val="0"/>
          <w:caps w:val="0"/>
          <w:color w:val="auto"/>
          <w:spacing w:val="0"/>
          <w:sz w:val="28"/>
          <w:szCs w:val="28"/>
          <w:u w:val="single"/>
          <w:shd w:val="clear"/>
          <w:lang w:val="zh-CN"/>
        </w:rPr>
        <w:t>校园监控设施提升改造</w:t>
      </w:r>
      <w:r>
        <w:rPr>
          <w:rFonts w:hint="eastAsia" w:ascii="宋体" w:hAnsi="宋体" w:eastAsia="宋体" w:cs="宋体"/>
          <w:b/>
          <w:bCs w:val="0"/>
          <w:i w:val="0"/>
          <w:iCs w:val="0"/>
          <w:caps w:val="0"/>
          <w:color w:val="auto"/>
          <w:spacing w:val="0"/>
          <w:sz w:val="28"/>
          <w:szCs w:val="28"/>
          <w:u w:val="single"/>
          <w:shd w:val="clear"/>
          <w:lang w:val="zh-CN" w:eastAsia="zh-CN"/>
        </w:rPr>
        <w:t>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衢院招2024-13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hint="eastAsia" w:ascii="宋体" w:hAnsi="宋体" w:cs="宋体"/>
          <w:kern w:val="0"/>
          <w:sz w:val="28"/>
          <w:szCs w:val="28"/>
        </w:rPr>
      </w:pP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19" w:name="_Toc202880936"/>
      <w:bookmarkStart w:id="20" w:name="_Toc203234579"/>
      <w:bookmarkStart w:id="21" w:name="_Toc228278091"/>
      <w:bookmarkStart w:id="22" w:name="_Toc231283507"/>
      <w:bookmarkStart w:id="23" w:name="_Toc208248342"/>
      <w:bookmarkStart w:id="24" w:name="_Toc235437017"/>
      <w:bookmarkStart w:id="25" w:name="_Toc208322523"/>
      <w:bookmarkStart w:id="26" w:name="_Toc229974211"/>
      <w:bookmarkStart w:id="27" w:name="_Toc300133574"/>
      <w:bookmarkStart w:id="28" w:name="_Toc207382109"/>
      <w:bookmarkStart w:id="29" w:name="_Toc203235123"/>
      <w:bookmarkStart w:id="30" w:name="_Toc229970929"/>
      <w:bookmarkStart w:id="31" w:name="_Toc235535004"/>
      <w:bookmarkStart w:id="32" w:name="_Toc230589262"/>
      <w:bookmarkStart w:id="33" w:name="_Toc208586401"/>
      <w:bookmarkStart w:id="34" w:name="_Toc227146985"/>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cs="宋体"/>
          <w:color w:val="000000"/>
          <w:sz w:val="28"/>
          <w:szCs w:val="28"/>
          <w:lang w:val="zh-CN"/>
        </w:rPr>
      </w:pPr>
      <w:r>
        <w:rPr>
          <w:rFonts w:hint="eastAsia" w:ascii="宋体" w:hAnsi="宋体" w:cs="宋体"/>
          <w:color w:val="000000"/>
          <w:sz w:val="28"/>
          <w:szCs w:val="28"/>
          <w:lang w:val="zh-CN"/>
        </w:rPr>
        <w:t>（投标单位全称）</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法定代表人</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cs="宋体"/>
          <w:sz w:val="28"/>
          <w:szCs w:val="28"/>
          <w:lang w:val="zh-CN"/>
        </w:rPr>
      </w:pP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授权</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（全权代表名字）为全权代表，参加贵单位组织的</w:t>
      </w:r>
      <w:r>
        <w:rPr>
          <w:rFonts w:hint="eastAsia" w:ascii="宋体" w:hAnsi="宋体" w:eastAsia="宋体" w:cs="宋体"/>
          <w:b/>
          <w:bCs w:val="0"/>
          <w:i w:val="0"/>
          <w:iCs w:val="0"/>
          <w:caps w:val="0"/>
          <w:color w:val="000000"/>
          <w:spacing w:val="20"/>
          <w:sz w:val="32"/>
          <w:szCs w:val="32"/>
          <w:u w:val="single"/>
          <w:shd w:val="clear"/>
        </w:rPr>
        <w:t>校园监控设施提升改造</w:t>
      </w:r>
      <w:r>
        <w:rPr>
          <w:rFonts w:hint="eastAsia" w:ascii="宋体" w:hAnsi="宋体" w:eastAsia="宋体" w:cs="宋体"/>
          <w:b/>
          <w:bCs w:val="0"/>
          <w:i w:val="0"/>
          <w:iCs w:val="0"/>
          <w:caps w:val="0"/>
          <w:color w:val="000000"/>
          <w:spacing w:val="20"/>
          <w:sz w:val="32"/>
          <w:szCs w:val="32"/>
          <w:u w:val="single"/>
          <w:shd w:val="clear"/>
          <w:lang w:val="en-US" w:eastAsia="zh-CN"/>
        </w:rPr>
        <w:t>项目</w:t>
      </w:r>
      <w:r>
        <w:rPr>
          <w:rFonts w:hint="eastAsia" w:ascii="宋体" w:hAnsi="宋体" w:cs="宋体"/>
          <w:color w:val="000000"/>
          <w:sz w:val="28"/>
          <w:szCs w:val="28"/>
          <w:lang w:val="zh-CN"/>
        </w:rPr>
        <w:t>（项目编号：</w:t>
      </w:r>
      <w:r>
        <w:rPr>
          <w:rFonts w:hint="eastAsia" w:ascii="宋体" w:hAnsi="宋体" w:cs="宋体"/>
          <w:b/>
          <w:color w:val="000000"/>
          <w:sz w:val="28"/>
          <w:szCs w:val="28"/>
          <w:u w:val="single"/>
          <w:lang w:val="zh-CN"/>
        </w:rPr>
        <w:t>衢院招2024-13</w:t>
      </w:r>
      <w:r>
        <w:rPr>
          <w:rFonts w:hint="eastAsia" w:ascii="宋体" w:hAnsi="宋体" w:cs="宋体"/>
          <w:color w:val="000000"/>
          <w:sz w:val="28"/>
          <w:szCs w:val="28"/>
          <w:lang w:val="zh-CN"/>
        </w:rPr>
        <w:t>）招标，</w:t>
      </w:r>
      <w:r>
        <w:rPr>
          <w:rFonts w:hint="eastAsia" w:ascii="宋体" w:hAnsi="宋体" w:cs="宋体"/>
          <w:sz w:val="28"/>
          <w:szCs w:val="28"/>
          <w:lang w:val="zh-CN"/>
        </w:rPr>
        <w:t>并全权处理采购活动中的一切事宜。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8"/>
          <w:szCs w:val="28"/>
          <w:lang w:val="zh-CN"/>
        </w:rPr>
      </w:pPr>
      <w:r>
        <w:rPr>
          <w:rFonts w:hint="eastAsia" w:ascii="宋体" w:hAnsi="宋体" w:cs="宋体"/>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56"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10" w:leftChars="405" w:firstLine="4620" w:firstLineChars="1650"/>
        <w:textAlignment w:val="auto"/>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w:t>
      </w:r>
      <w:r>
        <w:rPr>
          <w:rFonts w:hint="eastAsia"/>
          <w:b/>
          <w:color w:val="000000"/>
          <w:sz w:val="28"/>
          <w:szCs w:val="28"/>
          <w:lang w:val="en-US" w:eastAsia="zh-CN"/>
        </w:rPr>
        <w:t>六</w:t>
      </w:r>
      <w:r>
        <w:rPr>
          <w:b/>
          <w:color w:val="000000"/>
          <w:sz w:val="28"/>
          <w:szCs w:val="28"/>
        </w:rPr>
        <w:t>：</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tbl>
      <w:tblPr>
        <w:tblStyle w:val="18"/>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w:t>
      </w:r>
      <w:r>
        <w:rPr>
          <w:rFonts w:hint="eastAsia"/>
          <w:b/>
          <w:color w:val="000000"/>
          <w:sz w:val="28"/>
          <w:szCs w:val="28"/>
          <w:lang w:val="en-US" w:eastAsia="zh-CN"/>
        </w:rPr>
        <w:t>七</w:t>
      </w:r>
      <w:r>
        <w:rPr>
          <w:b/>
          <w:color w:val="000000"/>
          <w:sz w:val="28"/>
          <w:szCs w:val="28"/>
          <w:lang w:val="zh-CN"/>
        </w:rPr>
        <w:t>：</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p>
      <w:pPr>
        <w:spacing w:line="480" w:lineRule="exact"/>
        <w:ind w:left="480"/>
        <w:rPr>
          <w:bCs/>
          <w:color w:val="000000"/>
          <w:sz w:val="28"/>
          <w:szCs w:val="28"/>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198" w:leftChars="229" w:hanging="5740" w:hangingChars="2050"/>
        <w:rPr>
          <w:bCs/>
          <w:color w:val="000000"/>
          <w:sz w:val="28"/>
          <w:szCs w:val="28"/>
        </w:rPr>
      </w:pPr>
      <w:r>
        <w:rPr>
          <w:bCs/>
          <w:color w:val="000000"/>
          <w:sz w:val="28"/>
          <w:szCs w:val="28"/>
        </w:rPr>
        <w:t xml:space="preserve">                                       年   月   日</w:t>
      </w:r>
    </w:p>
    <w:p>
      <w:pPr>
        <w:spacing w:line="480" w:lineRule="exact"/>
        <w:ind w:left="6198"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w:t>
      </w:r>
      <w:r>
        <w:rPr>
          <w:rFonts w:hint="eastAsia"/>
          <w:b/>
          <w:color w:val="000000"/>
          <w:sz w:val="28"/>
          <w:szCs w:val="28"/>
          <w:lang w:val="en-US" w:eastAsia="zh-CN"/>
        </w:rPr>
        <w:t>式八</w:t>
      </w:r>
      <w:r>
        <w:rPr>
          <w:b/>
          <w:color w:val="000000"/>
          <w:sz w:val="28"/>
          <w:szCs w:val="28"/>
          <w:lang w:val="zh-CN"/>
        </w:rPr>
        <w:t>：</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p>
      <w:pPr>
        <w:spacing w:line="480" w:lineRule="exact"/>
        <w:rPr>
          <w:bCs/>
          <w:color w:val="000000"/>
          <w:sz w:val="28"/>
          <w:szCs w:val="28"/>
        </w:rPr>
      </w:pPr>
    </w:p>
    <w:tbl>
      <w:tblPr>
        <w:tblStyle w:val="18"/>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w:t>
      </w:r>
      <w:r>
        <w:rPr>
          <w:rFonts w:hint="eastAsia"/>
          <w:b/>
          <w:color w:val="000000"/>
          <w:sz w:val="28"/>
          <w:szCs w:val="28"/>
          <w:lang w:val="en-US" w:eastAsia="zh-CN"/>
        </w:rPr>
        <w:t>九</w:t>
      </w:r>
      <w:r>
        <w:rPr>
          <w:b/>
          <w:color w:val="000000"/>
          <w:sz w:val="28"/>
          <w:szCs w:val="28"/>
          <w:lang w:val="zh-CN"/>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b/>
          <w:color w:val="000000"/>
          <w:sz w:val="32"/>
          <w:szCs w:val="32"/>
        </w:rPr>
      </w:pPr>
    </w:p>
    <w:tbl>
      <w:tblPr>
        <w:tblStyle w:val="18"/>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w:t>
      </w:r>
      <w:r>
        <w:rPr>
          <w:rFonts w:hint="eastAsia"/>
          <w:b/>
          <w:color w:val="000000"/>
          <w:sz w:val="28"/>
          <w:szCs w:val="28"/>
          <w:lang w:val="en-US" w:eastAsia="zh-CN"/>
        </w:rPr>
        <w:t>十</w:t>
      </w:r>
      <w:r>
        <w:rPr>
          <w:b/>
          <w:color w:val="000000"/>
          <w:sz w:val="28"/>
          <w:szCs w:val="28"/>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0"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b/>
          <w:color w:val="000000"/>
          <w:sz w:val="32"/>
          <w:szCs w:val="32"/>
          <w:lang w:val="en-US"/>
        </w:rPr>
      </w:pPr>
    </w:p>
    <w:tbl>
      <w:tblPr>
        <w:tblStyle w:val="18"/>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val="en-US" w:eastAsia="zh-CN"/>
        </w:rPr>
        <w:t>十一</w:t>
      </w:r>
      <w:r>
        <w:rPr>
          <w:rFonts w:hint="eastAsia" w:ascii="宋体" w:hAnsi="宋体" w:cs="宋体"/>
          <w:b/>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widowControl/>
        <w:jc w:val="left"/>
        <w:rPr>
          <w:rFonts w:hint="eastAsia" w:ascii="宋体" w:hAnsi="宋体"/>
          <w:b/>
          <w:sz w:val="28"/>
          <w:szCs w:val="28"/>
          <w:lang w:val="en-GB"/>
        </w:rPr>
      </w:pPr>
    </w:p>
    <w:p>
      <w:pPr>
        <w:widowControl/>
        <w:jc w:val="left"/>
        <w:rPr>
          <w:rFonts w:hint="eastAsia" w:ascii="宋体" w:hAnsi="宋体"/>
          <w:b/>
          <w:sz w:val="28"/>
          <w:szCs w:val="28"/>
          <w:lang w:val="en-GB"/>
        </w:rPr>
      </w:pPr>
    </w:p>
    <w:p>
      <w:pPr>
        <w:widowControl/>
        <w:jc w:val="left"/>
        <w:rPr>
          <w:rFonts w:ascii="宋体" w:hAnsi="宋体"/>
          <w:b/>
          <w:sz w:val="28"/>
          <w:szCs w:val="28"/>
          <w:lang w:val="en-GB"/>
        </w:rPr>
      </w:pPr>
      <w:r>
        <w:rPr>
          <w:rFonts w:hint="eastAsia" w:ascii="宋体" w:hAnsi="宋体"/>
          <w:b/>
          <w:sz w:val="28"/>
          <w:szCs w:val="28"/>
          <w:lang w:val="en-GB"/>
        </w:rPr>
        <w:t>格式十</w:t>
      </w:r>
      <w:r>
        <w:rPr>
          <w:rFonts w:hint="eastAsia" w:ascii="宋体" w:hAnsi="宋体"/>
          <w:b/>
          <w:sz w:val="28"/>
          <w:szCs w:val="28"/>
          <w:lang w:val="en-US" w:eastAsia="zh-CN"/>
        </w:rPr>
        <w:t>二</w:t>
      </w:r>
      <w:r>
        <w:rPr>
          <w:rFonts w:hint="eastAsia" w:ascii="宋体" w:hAnsi="宋体"/>
          <w:b/>
          <w:sz w:val="28"/>
          <w:szCs w:val="28"/>
          <w:lang w:val="en-GB"/>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w:t>
      </w:r>
      <w:r>
        <w:rPr>
          <w:rFonts w:hint="eastAsia" w:ascii="宋体" w:hAnsi="宋体"/>
          <w:b/>
          <w:sz w:val="28"/>
          <w:szCs w:val="28"/>
          <w:lang w:val="en-US" w:eastAsia="zh-CN"/>
        </w:rPr>
        <w:t>三</w:t>
      </w:r>
      <w:r>
        <w:rPr>
          <w:rFonts w:hint="eastAsia" w:ascii="宋体" w:hAnsi="宋体"/>
          <w:b/>
          <w:sz w:val="28"/>
          <w:szCs w:val="28"/>
          <w:lang w:val="en-GB"/>
        </w:rPr>
        <w:t>：</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4"/>
        <w:spacing w:line="540" w:lineRule="exact"/>
        <w:ind w:firstLine="0" w:firstLineChars="0"/>
        <w:jc w:val="center"/>
        <w:rPr>
          <w:rFonts w:ascii="宋体" w:eastAsia="宋体"/>
          <w:sz w:val="28"/>
        </w:rPr>
      </w:pPr>
      <w:r>
        <w:rPr>
          <w:rFonts w:hint="eastAsia" w:ascii="宋体" w:eastAsia="宋体"/>
          <w:sz w:val="28"/>
        </w:rPr>
        <w:t xml:space="preserve">                                       日  期：</w:t>
      </w:r>
    </w:p>
    <w:p>
      <w:pPr>
        <w:pStyle w:val="22"/>
        <w:jc w:val="center"/>
        <w:rPr>
          <w:rFonts w:ascii="宋体" w:hAnsi="宋体"/>
          <w:sz w:val="28"/>
          <w:szCs w:val="28"/>
        </w:rPr>
      </w:pPr>
    </w:p>
    <w:p/>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十四</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eastAsia" w:ascii="宋体" w:hAnsi="宋体" w:eastAsia="宋体" w:cs="宋体"/>
          <w:b/>
          <w:bCs w:val="0"/>
          <w:sz w:val="32"/>
          <w:szCs w:val="32"/>
          <w:lang w:val="en-US" w:eastAsia="zh-CN"/>
        </w:rPr>
      </w:pPr>
      <w:r>
        <w:rPr>
          <w:rFonts w:hint="eastAsia" w:ascii="宋体" w:hAnsi="宋体" w:eastAsia="宋体" w:cs="宋体"/>
          <w:b/>
          <w:sz w:val="28"/>
          <w:szCs w:val="28"/>
          <w:lang w:val="en-GB" w:eastAsia="zh-CN"/>
        </w:rPr>
        <w:t>格式十五：</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0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格式十六：</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0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rPr>
          <w:rFonts w:ascii="宋体" w:hAnsi="宋体" w:cs="宋体"/>
          <w:b/>
          <w:bCs/>
          <w:sz w:val="36"/>
          <w:szCs w:val="36"/>
          <w:lang w:val="zh-CN"/>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2"/>
        <w:rPr>
          <w:rFonts w:ascii="宋体" w:hAnsi="宋体" w:cs="宋体"/>
          <w:sz w:val="28"/>
          <w:szCs w:val="28"/>
        </w:rPr>
      </w:pP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w:t>
    </w:r>
    <w:r>
      <w:rPr>
        <w:rFonts w:hint="eastAsia" w:ascii="宋体" w:hAnsi="宋体" w:cs="仿宋_GB2312"/>
        <w:color w:val="000000"/>
        <w:lang w:val="en-US" w:eastAsia="zh-CN"/>
      </w:rPr>
      <w:t>4</w:t>
    </w:r>
    <w:r>
      <w:rPr>
        <w:rFonts w:hint="eastAsia" w:ascii="宋体" w:hAnsi="宋体" w:cs="仿宋_GB2312"/>
        <w:color w:val="000000"/>
      </w:rPr>
      <w:t>-</w:t>
    </w:r>
    <w:r>
      <w:rPr>
        <w:rFonts w:hint="eastAsia" w:ascii="宋体" w:hAnsi="宋体" w:cs="仿宋_GB2312"/>
        <w:color w:val="000000"/>
        <w:lang w:val="en-US" w:eastAsia="zh-CN"/>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2699B560"/>
    <w:multiLevelType w:val="singleLevel"/>
    <w:tmpl w:val="2699B560"/>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Tk2YTU0M2Q1NWU3MGEzMWQ0NzA5YzJlN2Q4NjQifQ=="/>
  </w:docVars>
  <w:rsids>
    <w:rsidRoot w:val="40A80D3D"/>
    <w:rsid w:val="000539F7"/>
    <w:rsid w:val="000B69BB"/>
    <w:rsid w:val="00102EB0"/>
    <w:rsid w:val="002C5AC1"/>
    <w:rsid w:val="006248FC"/>
    <w:rsid w:val="00711452"/>
    <w:rsid w:val="00A15748"/>
    <w:rsid w:val="00D15100"/>
    <w:rsid w:val="00E04DDF"/>
    <w:rsid w:val="012B2A8D"/>
    <w:rsid w:val="013C3B06"/>
    <w:rsid w:val="03900A1D"/>
    <w:rsid w:val="03A479BD"/>
    <w:rsid w:val="044D15DB"/>
    <w:rsid w:val="0619781A"/>
    <w:rsid w:val="078E41D3"/>
    <w:rsid w:val="07C75B42"/>
    <w:rsid w:val="07EC0300"/>
    <w:rsid w:val="082A4D0C"/>
    <w:rsid w:val="08376891"/>
    <w:rsid w:val="094544C7"/>
    <w:rsid w:val="09D338FB"/>
    <w:rsid w:val="09F1672E"/>
    <w:rsid w:val="0A651E36"/>
    <w:rsid w:val="0A9576B7"/>
    <w:rsid w:val="0DBA3C6D"/>
    <w:rsid w:val="0DE80474"/>
    <w:rsid w:val="1096175B"/>
    <w:rsid w:val="14140D32"/>
    <w:rsid w:val="154713ED"/>
    <w:rsid w:val="1B1B0DBC"/>
    <w:rsid w:val="1B29575B"/>
    <w:rsid w:val="1B582862"/>
    <w:rsid w:val="1BF46EDC"/>
    <w:rsid w:val="1CDB453D"/>
    <w:rsid w:val="1DB678FA"/>
    <w:rsid w:val="1E386E5A"/>
    <w:rsid w:val="1E9534D5"/>
    <w:rsid w:val="1F841AE0"/>
    <w:rsid w:val="20230487"/>
    <w:rsid w:val="204E2BAA"/>
    <w:rsid w:val="21B11747"/>
    <w:rsid w:val="25A82447"/>
    <w:rsid w:val="260E32E6"/>
    <w:rsid w:val="26695C79"/>
    <w:rsid w:val="267358E2"/>
    <w:rsid w:val="272F09A4"/>
    <w:rsid w:val="281A6F16"/>
    <w:rsid w:val="29851F3C"/>
    <w:rsid w:val="2A734F09"/>
    <w:rsid w:val="2A8567D2"/>
    <w:rsid w:val="2B5F12CA"/>
    <w:rsid w:val="2BDB410A"/>
    <w:rsid w:val="2F20651C"/>
    <w:rsid w:val="2FCF2CDC"/>
    <w:rsid w:val="314C5488"/>
    <w:rsid w:val="3316429F"/>
    <w:rsid w:val="33472053"/>
    <w:rsid w:val="358A6162"/>
    <w:rsid w:val="35D94E22"/>
    <w:rsid w:val="36457EF3"/>
    <w:rsid w:val="37A537EF"/>
    <w:rsid w:val="38AF7C6F"/>
    <w:rsid w:val="3A575A0D"/>
    <w:rsid w:val="3B64484E"/>
    <w:rsid w:val="3C472C93"/>
    <w:rsid w:val="3C6C15BE"/>
    <w:rsid w:val="3CB129AA"/>
    <w:rsid w:val="3CC90825"/>
    <w:rsid w:val="3DE302EB"/>
    <w:rsid w:val="3EFF649B"/>
    <w:rsid w:val="404E3C33"/>
    <w:rsid w:val="40A80D3D"/>
    <w:rsid w:val="40C0673B"/>
    <w:rsid w:val="40D34B93"/>
    <w:rsid w:val="41EB4CF6"/>
    <w:rsid w:val="46E17D8B"/>
    <w:rsid w:val="48576963"/>
    <w:rsid w:val="48B92BF3"/>
    <w:rsid w:val="48EC2A92"/>
    <w:rsid w:val="491C1E90"/>
    <w:rsid w:val="492B6902"/>
    <w:rsid w:val="4FBE50A3"/>
    <w:rsid w:val="50995C59"/>
    <w:rsid w:val="52736165"/>
    <w:rsid w:val="54FE4CF2"/>
    <w:rsid w:val="5668597D"/>
    <w:rsid w:val="588E0A76"/>
    <w:rsid w:val="58B70AE0"/>
    <w:rsid w:val="58BF2E0D"/>
    <w:rsid w:val="59336FC9"/>
    <w:rsid w:val="59DF255D"/>
    <w:rsid w:val="5A611050"/>
    <w:rsid w:val="5AC22D78"/>
    <w:rsid w:val="5D597FAE"/>
    <w:rsid w:val="5ED2438D"/>
    <w:rsid w:val="5F725CF0"/>
    <w:rsid w:val="5FBF32A9"/>
    <w:rsid w:val="5FE457B5"/>
    <w:rsid w:val="609726AE"/>
    <w:rsid w:val="60E6304F"/>
    <w:rsid w:val="61284D4D"/>
    <w:rsid w:val="630172D1"/>
    <w:rsid w:val="6612616F"/>
    <w:rsid w:val="66367B00"/>
    <w:rsid w:val="66E819EF"/>
    <w:rsid w:val="67C1486C"/>
    <w:rsid w:val="68133457"/>
    <w:rsid w:val="694464FF"/>
    <w:rsid w:val="6B067A08"/>
    <w:rsid w:val="6BA750DB"/>
    <w:rsid w:val="6C4D13F3"/>
    <w:rsid w:val="6D2E3748"/>
    <w:rsid w:val="6D80183D"/>
    <w:rsid w:val="6DFF0395"/>
    <w:rsid w:val="6F7649D9"/>
    <w:rsid w:val="6FAE1E2B"/>
    <w:rsid w:val="71F16DC2"/>
    <w:rsid w:val="744C0614"/>
    <w:rsid w:val="75396CA6"/>
    <w:rsid w:val="76845531"/>
    <w:rsid w:val="76C53727"/>
    <w:rsid w:val="77CF2A24"/>
    <w:rsid w:val="7A714973"/>
    <w:rsid w:val="7AA10300"/>
    <w:rsid w:val="7D904717"/>
    <w:rsid w:val="7EFE209D"/>
    <w:rsid w:val="7F1C7BEA"/>
    <w:rsid w:val="7F4B60D1"/>
    <w:rsid w:val="EEB792BD"/>
    <w:rsid w:val="EF7FB3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99"/>
    <w:pPr>
      <w:ind w:firstLine="420" w:firstLineChars="200"/>
    </w:pPr>
    <w:rPr>
      <w:rFonts w:ascii="Arial" w:hAnsi="Arial"/>
      <w:sz w:val="22"/>
      <w:lang w:eastAsia="en-US"/>
    </w:rPr>
  </w:style>
  <w:style w:type="paragraph" w:styleId="10">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1">
    <w:name w:val="Plain Text"/>
    <w:basedOn w:val="1"/>
    <w:next w:val="12"/>
    <w:qFormat/>
    <w:uiPriority w:val="0"/>
    <w:pPr>
      <w:widowControl/>
      <w:overflowPunct w:val="0"/>
      <w:autoSpaceDE w:val="0"/>
      <w:autoSpaceDN w:val="0"/>
      <w:adjustRightInd w:val="0"/>
      <w:jc w:val="left"/>
    </w:pPr>
    <w:rPr>
      <w:rFonts w:ascii="宋体" w:hAnsi="Courier New"/>
      <w:kern w:val="0"/>
      <w:szCs w:val="21"/>
    </w:rPr>
  </w:style>
  <w:style w:type="paragraph" w:styleId="12">
    <w:name w:val="Balloon Text"/>
    <w:basedOn w:val="1"/>
    <w:next w:val="1"/>
    <w:qFormat/>
    <w:uiPriority w:val="99"/>
    <w:rPr>
      <w:rFonts w:asciiTheme="minorHAnsi" w:hAnsiTheme="minorHAnsi" w:eastAsiaTheme="minorEastAsia" w:cstheme="minorBidi"/>
      <w:sz w:val="18"/>
      <w:szCs w:val="22"/>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纯文本1"/>
    <w:basedOn w:val="1"/>
    <w:qFormat/>
    <w:uiPriority w:val="0"/>
    <w:rPr>
      <w:rFonts w:ascii="宋体" w:hAnsi="Courier New" w:cs="ˎ̥"/>
      <w:sz w:val="21"/>
      <w:szCs w:val="21"/>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6">
    <w:name w:val="List Paragraph1"/>
    <w:basedOn w:val="1"/>
    <w:qFormat/>
    <w:uiPriority w:val="99"/>
    <w:pPr>
      <w:ind w:firstLine="420" w:firstLineChars="200"/>
    </w:pPr>
    <w:rPr>
      <w:rFonts w:ascii="Calibri" w:hAnsi="Calibri"/>
      <w:szCs w:val="22"/>
    </w:rPr>
  </w:style>
  <w:style w:type="character" w:customStyle="1" w:styleId="27">
    <w:name w:val="NormalCharacter"/>
    <w:qFormat/>
    <w:uiPriority w:val="0"/>
  </w:style>
  <w:style w:type="character" w:customStyle="1" w:styleId="28">
    <w:name w:val="标题 1 Char"/>
    <w:link w:val="3"/>
    <w:qFormat/>
    <w:uiPriority w:val="0"/>
    <w:rPr>
      <w:rFonts w:eastAsia="宋体"/>
      <w:b/>
      <w:kern w:val="44"/>
      <w:sz w:val="32"/>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paragraph" w:customStyle="1" w:styleId="30">
    <w:name w:val="正文文本缩进 21"/>
    <w:basedOn w:val="1"/>
    <w:qFormat/>
    <w:uiPriority w:val="0"/>
    <w:pPr>
      <w:spacing w:line="360" w:lineRule="exact"/>
      <w:ind w:firstLine="469" w:firstLineChars="200"/>
    </w:pPr>
    <w:rPr>
      <w:rFonts w:ascii="宋体" w:hAnsi="宋体" w:cs="宋体"/>
      <w:kern w:val="0"/>
      <w:sz w:val="24"/>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31</Pages>
  <Words>12019</Words>
  <Characters>12868</Characters>
  <Lines>108</Lines>
  <Paragraphs>30</Paragraphs>
  <TotalTime>6</TotalTime>
  <ScaleCrop>false</ScaleCrop>
  <LinksUpToDate>false</LinksUpToDate>
  <CharactersWithSpaces>14217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2021-04-02T08:41:00Z</dcterms:created>
  <dc:creator>周建红</dc:creator>
  <cp:lastModifiedBy>Administrator</cp:lastModifiedBy>
  <cp:lastPrinted>2024-03-29T00:52:00Z</cp:lastPrinted>
  <dcterms:modified xsi:type="dcterms:W3CDTF">2024-07-05T08:25:49Z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