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1C77">
      <w:pPr>
        <w:jc w:val="center"/>
        <w:rPr>
          <w:rFonts w:ascii="黑体" w:hAnsi="黑体" w:eastAsia="黑体"/>
          <w:sz w:val="36"/>
          <w:szCs w:val="36"/>
        </w:rPr>
      </w:pPr>
      <w:r>
        <w:rPr>
          <w:rFonts w:hint="eastAsia" w:ascii="黑体" w:hAnsi="黑体" w:eastAsia="黑体"/>
          <w:sz w:val="36"/>
          <w:szCs w:val="36"/>
        </w:rPr>
        <w:t>单一来源采购方式专业人员论证意见</w:t>
      </w:r>
    </w:p>
    <w:p w14:paraId="1DD7C2F0">
      <w:pPr>
        <w:jc w:val="center"/>
        <w:rPr>
          <w:rFonts w:ascii="黑体" w:hAnsi="黑体" w:eastAsia="黑体"/>
          <w:sz w:val="36"/>
          <w:szCs w:val="36"/>
        </w:rPr>
      </w:pP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27"/>
        <w:gridCol w:w="897"/>
        <w:gridCol w:w="554"/>
        <w:gridCol w:w="1272"/>
        <w:gridCol w:w="1606"/>
        <w:gridCol w:w="97"/>
        <w:gridCol w:w="1185"/>
        <w:gridCol w:w="1287"/>
      </w:tblGrid>
      <w:tr w14:paraId="7FF3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799" w:type="dxa"/>
            <w:vMerge w:val="restart"/>
            <w:vAlign w:val="center"/>
          </w:tcPr>
          <w:p w14:paraId="7C6804F0">
            <w:pPr>
              <w:rPr>
                <w:rFonts w:ascii="仿宋" w:hAnsi="仿宋" w:eastAsia="仿宋"/>
                <w:kern w:val="0"/>
                <w:sz w:val="21"/>
                <w:szCs w:val="21"/>
              </w:rPr>
            </w:pPr>
            <w:r>
              <w:rPr>
                <w:rFonts w:hint="eastAsia" w:ascii="仿宋" w:hAnsi="仿宋" w:eastAsia="仿宋"/>
                <w:kern w:val="0"/>
                <w:sz w:val="21"/>
                <w:szCs w:val="21"/>
              </w:rPr>
              <w:t>项目信息</w:t>
            </w:r>
          </w:p>
        </w:tc>
        <w:tc>
          <w:tcPr>
            <w:tcW w:w="1924" w:type="dxa"/>
            <w:gridSpan w:val="2"/>
            <w:vAlign w:val="center"/>
          </w:tcPr>
          <w:p w14:paraId="5BF7A951">
            <w:pPr>
              <w:jc w:val="cente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采购单位</w:t>
            </w:r>
          </w:p>
        </w:tc>
        <w:tc>
          <w:tcPr>
            <w:tcW w:w="1826" w:type="dxa"/>
            <w:gridSpan w:val="2"/>
          </w:tcPr>
          <w:p w14:paraId="2DD27A13">
            <w:pP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衢州学院</w:t>
            </w:r>
            <w:bookmarkStart w:id="2" w:name="_GoBack"/>
            <w:bookmarkEnd w:id="2"/>
          </w:p>
        </w:tc>
        <w:tc>
          <w:tcPr>
            <w:tcW w:w="1703" w:type="dxa"/>
            <w:gridSpan w:val="2"/>
            <w:vAlign w:val="center"/>
          </w:tcPr>
          <w:p w14:paraId="09C0E8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论证时间</w:t>
            </w:r>
          </w:p>
        </w:tc>
        <w:tc>
          <w:tcPr>
            <w:tcW w:w="2472" w:type="dxa"/>
            <w:gridSpan w:val="2"/>
          </w:tcPr>
          <w:p w14:paraId="7DA9EDE3">
            <w:pP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2026年3月30日</w:t>
            </w:r>
          </w:p>
        </w:tc>
      </w:tr>
      <w:tr w14:paraId="1FAE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9" w:type="dxa"/>
            <w:vMerge w:val="continue"/>
            <w:vAlign w:val="center"/>
          </w:tcPr>
          <w:p w14:paraId="32FAB090">
            <w:pPr>
              <w:rPr>
                <w:rFonts w:hint="eastAsia" w:ascii="仿宋" w:hAnsi="仿宋" w:eastAsia="仿宋"/>
                <w:kern w:val="0"/>
                <w:sz w:val="21"/>
                <w:szCs w:val="21"/>
              </w:rPr>
            </w:pPr>
          </w:p>
        </w:tc>
        <w:tc>
          <w:tcPr>
            <w:tcW w:w="1924" w:type="dxa"/>
            <w:gridSpan w:val="2"/>
            <w:vAlign w:val="center"/>
          </w:tcPr>
          <w:p w14:paraId="2B3434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kern w:val="0"/>
                <w:sz w:val="21"/>
                <w:szCs w:val="21"/>
              </w:rPr>
            </w:pPr>
            <w:r>
              <w:rPr>
                <w:rFonts w:hint="eastAsia" w:ascii="仿宋" w:hAnsi="仿宋" w:eastAsia="仿宋"/>
                <w:kern w:val="0"/>
                <w:sz w:val="21"/>
                <w:szCs w:val="21"/>
              </w:rPr>
              <w:t>项目名称</w:t>
            </w:r>
          </w:p>
        </w:tc>
        <w:tc>
          <w:tcPr>
            <w:tcW w:w="1826" w:type="dxa"/>
            <w:gridSpan w:val="2"/>
          </w:tcPr>
          <w:p w14:paraId="2E8A61DB">
            <w:pPr>
              <w:keepNext w:val="0"/>
              <w:keepLines w:val="0"/>
              <w:pageBreakBefore w:val="0"/>
              <w:widowControl w:val="0"/>
              <w:kinsoku/>
              <w:wordWrap/>
              <w:overflowPunct/>
              <w:topLinePunct w:val="0"/>
              <w:autoSpaceDE/>
              <w:autoSpaceDN/>
              <w:bidi w:val="0"/>
              <w:adjustRightInd w:val="0"/>
              <w:snapToGrid w:val="0"/>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跨国企业员工关系管理</w:t>
            </w:r>
          </w:p>
        </w:tc>
        <w:tc>
          <w:tcPr>
            <w:tcW w:w="1703" w:type="dxa"/>
            <w:gridSpan w:val="2"/>
            <w:vAlign w:val="center"/>
          </w:tcPr>
          <w:p w14:paraId="6E986A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预算金额</w:t>
            </w:r>
          </w:p>
        </w:tc>
        <w:tc>
          <w:tcPr>
            <w:tcW w:w="2472" w:type="dxa"/>
            <w:gridSpan w:val="2"/>
          </w:tcPr>
          <w:p w14:paraId="005B99E6">
            <w:pPr>
              <w:keepNext w:val="0"/>
              <w:keepLines w:val="0"/>
              <w:pageBreakBefore w:val="0"/>
              <w:widowControl w:val="0"/>
              <w:kinsoku/>
              <w:wordWrap/>
              <w:overflowPunct/>
              <w:topLinePunct w:val="0"/>
              <w:autoSpaceDE/>
              <w:autoSpaceDN/>
              <w:bidi w:val="0"/>
              <w:adjustRightInd w:val="0"/>
              <w:snapToGrid w:val="0"/>
              <w:textAlignment w:val="auto"/>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67000元</w:t>
            </w:r>
          </w:p>
        </w:tc>
      </w:tr>
      <w:tr w14:paraId="5A74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9" w:type="dxa"/>
            <w:vMerge w:val="continue"/>
          </w:tcPr>
          <w:p w14:paraId="3EFEF54D">
            <w:pPr>
              <w:rPr>
                <w:rFonts w:ascii="仿宋" w:hAnsi="仿宋" w:eastAsia="仿宋"/>
                <w:kern w:val="0"/>
                <w:sz w:val="21"/>
                <w:szCs w:val="21"/>
              </w:rPr>
            </w:pPr>
          </w:p>
        </w:tc>
        <w:tc>
          <w:tcPr>
            <w:tcW w:w="1924" w:type="dxa"/>
            <w:gridSpan w:val="2"/>
            <w:vAlign w:val="center"/>
          </w:tcPr>
          <w:p w14:paraId="12B88DBA">
            <w:pPr>
              <w:jc w:val="center"/>
              <w:rPr>
                <w:rFonts w:ascii="仿宋" w:hAnsi="仿宋" w:eastAsia="仿宋"/>
                <w:kern w:val="0"/>
                <w:sz w:val="21"/>
                <w:szCs w:val="21"/>
              </w:rPr>
            </w:pPr>
            <w:r>
              <w:rPr>
                <w:rFonts w:hint="eastAsia" w:ascii="仿宋" w:hAnsi="仿宋" w:eastAsia="仿宋"/>
                <w:kern w:val="0"/>
                <w:sz w:val="21"/>
                <w:szCs w:val="21"/>
              </w:rPr>
              <w:t>供应商名称</w:t>
            </w:r>
          </w:p>
        </w:tc>
        <w:tc>
          <w:tcPr>
            <w:tcW w:w="6001" w:type="dxa"/>
            <w:gridSpan w:val="6"/>
          </w:tcPr>
          <w:p w14:paraId="111B4E25">
            <w:pPr>
              <w:rPr>
                <w:rFonts w:hint="default" w:ascii="仿宋" w:hAnsi="仿宋" w:eastAsia="仿宋"/>
                <w:kern w:val="0"/>
                <w:sz w:val="21"/>
                <w:szCs w:val="21"/>
                <w:lang w:val="en-US" w:eastAsia="zh-CN"/>
              </w:rPr>
            </w:pPr>
            <w:bookmarkStart w:id="0" w:name="OLE_LINK2"/>
            <w:r>
              <w:rPr>
                <w:rFonts w:hint="eastAsia" w:ascii="仿宋" w:hAnsi="仿宋" w:eastAsia="仿宋"/>
                <w:kern w:val="0"/>
                <w:sz w:val="21"/>
                <w:szCs w:val="21"/>
                <w:lang w:val="en-US" w:eastAsia="zh-CN"/>
              </w:rPr>
              <w:t>上海交通大学出版社有限公司</w:t>
            </w:r>
            <w:bookmarkEnd w:id="0"/>
          </w:p>
        </w:tc>
      </w:tr>
      <w:tr w14:paraId="2208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jc w:val="center"/>
        </w:trPr>
        <w:tc>
          <w:tcPr>
            <w:tcW w:w="799" w:type="dxa"/>
            <w:vAlign w:val="center"/>
          </w:tcPr>
          <w:p w14:paraId="7A5C512E">
            <w:pPr>
              <w:rPr>
                <w:rFonts w:ascii="仿宋" w:hAnsi="仿宋" w:eastAsia="仿宋"/>
                <w:kern w:val="0"/>
                <w:sz w:val="21"/>
                <w:szCs w:val="21"/>
              </w:rPr>
            </w:pPr>
            <w:r>
              <w:rPr>
                <w:rFonts w:hint="eastAsia" w:ascii="仿宋" w:hAnsi="仿宋" w:eastAsia="仿宋"/>
                <w:kern w:val="0"/>
                <w:sz w:val="21"/>
                <w:szCs w:val="21"/>
              </w:rPr>
              <w:t>专业人员论证意见</w:t>
            </w:r>
          </w:p>
        </w:tc>
        <w:tc>
          <w:tcPr>
            <w:tcW w:w="7925" w:type="dxa"/>
            <w:gridSpan w:val="8"/>
          </w:tcPr>
          <w:p w14:paraId="478A3950">
            <w:pPr>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一、项目背景</w:t>
            </w:r>
          </w:p>
          <w:p w14:paraId="431BFB5D">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本项目拟采购《跨国企业员工关系管理》出版服务，该书聚焦跨国企业人力资源管理中的员工关系核心议题，涵盖跨文化沟通、国际劳动法比较、多元包容机制等前沿内容，兼具理论深度与实践指导价值。经综合评估，论证专家组一致认为上海交通大学出版社有限公司是唯一符合要求的出版机构。</w:t>
            </w:r>
          </w:p>
          <w:p w14:paraId="59273B43">
            <w:pPr>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二、单一来源采购核心论证</w:t>
            </w:r>
          </w:p>
          <w:p w14:paraId="6BFEDD2C">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（一）人力资源管理领域出版独家优势</w:t>
            </w:r>
          </w:p>
          <w:p w14:paraId="5206B1B4">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上海交通大学出版社长期深耕经济管理、组织行为及人力资源领域，积累了成熟的出版经验与品牌口碑。该社曾出版“中国企业人力资源发展报告”“国际比较人力资源管理丛书”等系列著作，其中多部被列为国家级规划教材，印证了其对跨国企业员工关系类学术著作的出版把控能力。</w:t>
            </w:r>
          </w:p>
          <w:p w14:paraId="0A5E5AF0">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（二）学术出版专业能力无可替代</w:t>
            </w:r>
          </w:p>
          <w:p w14:paraId="2F83026E">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作为教育部主管、国家一级出版社，上海交通大学出版社拥有完善的学术出版体系与顶尖编辑团队，累计承担150余项国家社科基金后期资助项目及上海文化发展基金会资助项目，并多次入选“国家出版基金项目”。严格的三审三校流程与双盲外审制度，能确保书稿在跨法域比较、实证数据引用、术语译名统一等方面的学术严谨性，这是普通出版社难以企及的。</w:t>
            </w:r>
          </w:p>
          <w:p w14:paraId="70FBB4B7">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（三）国际合作与资源整合唯一性</w:t>
            </w:r>
          </w:p>
          <w:p w14:paraId="17295BF4">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上海交通大学出版社与Elsevier、Springer Nature、Wolters Kluwer等国际知名出版机构建立长期合作，并在“一带一路”沿线国家设有版权联络站。该社的全球发行网络与数字化出版平台（如“交大书院”数据库），能助力本书实现国际学术传播与跨境企业用户的精准触达。此外，该社多次荣获中国出版政府奖、上海图书奖等权威奖项，能为著作赋予更高学术认可度。</w:t>
            </w:r>
          </w:p>
          <w:p w14:paraId="1581A71C">
            <w:pPr>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三、合规性结论</w:t>
            </w:r>
          </w:p>
          <w:p w14:paraId="6CCC3375">
            <w:pPr>
              <w:ind w:firstLine="360" w:firstLineChars="200"/>
              <w:rPr>
                <w:rFonts w:hint="eastAsia"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综上，上海交通大学出版社在人力资源管理类学术教材的出版经验、专业编辑资源、国际合作渠道及数字化传播能力等方面具有不可替代性。根据《政府采购法》相关规定，本次采购符合单一来源采购适用情形，建议采用单一来源方式向上海交通大学出版社有限公司采购《跨国企业员工关系管理》一书的出版服务。</w:t>
            </w:r>
          </w:p>
          <w:p w14:paraId="302FF166">
            <w:pPr>
              <w:ind w:firstLine="360" w:firstLineChars="200"/>
              <w:jc w:val="center"/>
              <w:rPr>
                <w:rFonts w:hint="default" w:ascii="仿宋" w:hAnsi="仿宋" w:eastAsia="仿宋"/>
                <w:kern w:val="0"/>
                <w:sz w:val="18"/>
                <w:szCs w:val="18"/>
                <w:u w:val="none"/>
                <w:lang w:val="en-US" w:eastAsia="zh-CN"/>
              </w:rPr>
            </w:pPr>
            <w:r>
              <w:rPr>
                <w:rFonts w:hint="eastAsia" w:ascii="仿宋" w:hAnsi="仿宋" w:eastAsia="仿宋"/>
                <w:kern w:val="0"/>
                <w:sz w:val="18"/>
                <w:szCs w:val="18"/>
                <w:u w:val="none"/>
                <w:lang w:val="en-US" w:eastAsia="zh-CN"/>
              </w:rPr>
              <w:t xml:space="preserve">                                                         组长：</w:t>
            </w:r>
            <w:r>
              <w:rPr>
                <w:rFonts w:hint="default" w:ascii="仿宋" w:hAnsi="仿宋" w:eastAsia="仿宋"/>
                <w:kern w:val="0"/>
                <w:sz w:val="18"/>
                <w:szCs w:val="18"/>
                <w:u w:val="none"/>
                <w:lang w:val="en-US" w:eastAsia="zh-CN"/>
              </w:rPr>
              <w:drawing>
                <wp:inline distT="0" distB="0" distL="114300" distR="114300">
                  <wp:extent cx="490855" cy="267970"/>
                  <wp:effectExtent l="0" t="0" r="4445" b="8255"/>
                  <wp:docPr id="1" name="图片 1" descr="林院电子签名调整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院电子签名调整版"/>
                          <pic:cNvPicPr>
                            <a:picLocks noChangeAspect="1"/>
                          </pic:cNvPicPr>
                        </pic:nvPicPr>
                        <pic:blipFill>
                          <a:blip r:embed="rId4"/>
                          <a:stretch>
                            <a:fillRect/>
                          </a:stretch>
                        </pic:blipFill>
                        <pic:spPr>
                          <a:xfrm>
                            <a:off x="0" y="0"/>
                            <a:ext cx="490855" cy="267970"/>
                          </a:xfrm>
                          <a:prstGeom prst="rect">
                            <a:avLst/>
                          </a:prstGeom>
                        </pic:spPr>
                      </pic:pic>
                    </a:graphicData>
                  </a:graphic>
                </wp:inline>
              </w:drawing>
            </w:r>
          </w:p>
        </w:tc>
      </w:tr>
      <w:tr w14:paraId="6403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99" w:type="dxa"/>
            <w:vMerge w:val="restart"/>
            <w:vAlign w:val="center"/>
          </w:tcPr>
          <w:p w14:paraId="4485248E">
            <w:pPr>
              <w:jc w:val="center"/>
              <w:rPr>
                <w:rFonts w:hint="eastAsia" w:ascii="仿宋" w:hAnsi="仿宋" w:eastAsia="仿宋"/>
                <w:kern w:val="0"/>
                <w:sz w:val="21"/>
                <w:szCs w:val="21"/>
                <w:lang w:eastAsia="zh-CN"/>
              </w:rPr>
            </w:pPr>
            <w:r>
              <w:rPr>
                <w:rFonts w:hint="eastAsia" w:ascii="仿宋" w:hAnsi="仿宋" w:eastAsia="仿宋"/>
                <w:kern w:val="0"/>
                <w:sz w:val="21"/>
                <w:szCs w:val="21"/>
              </w:rPr>
              <w:t>专业人员</w:t>
            </w:r>
            <w:r>
              <w:rPr>
                <w:rFonts w:hint="eastAsia" w:ascii="仿宋" w:hAnsi="仿宋" w:eastAsia="仿宋"/>
                <w:kern w:val="0"/>
                <w:sz w:val="21"/>
                <w:szCs w:val="21"/>
                <w:lang w:val="en-US" w:eastAsia="zh-CN"/>
              </w:rPr>
              <w:t>信息</w:t>
            </w:r>
          </w:p>
        </w:tc>
        <w:tc>
          <w:tcPr>
            <w:tcW w:w="1027" w:type="dxa"/>
            <w:vAlign w:val="center"/>
          </w:tcPr>
          <w:p w14:paraId="6E2709CC">
            <w:pPr>
              <w:jc w:val="center"/>
              <w:rPr>
                <w:rFonts w:hint="eastAsia" w:ascii="仿宋" w:hAnsi="仿宋" w:eastAsia="仿宋" w:cs="仿宋"/>
                <w:kern w:val="0"/>
                <w:sz w:val="24"/>
                <w:szCs w:val="24"/>
              </w:rPr>
            </w:pPr>
            <w:r>
              <w:rPr>
                <w:rFonts w:hint="eastAsia" w:ascii="仿宋" w:hAnsi="仿宋" w:eastAsia="仿宋" w:cs="仿宋"/>
                <w:sz w:val="24"/>
                <w:szCs w:val="24"/>
              </w:rPr>
              <w:t>姓名</w:t>
            </w:r>
          </w:p>
        </w:tc>
        <w:tc>
          <w:tcPr>
            <w:tcW w:w="1451" w:type="dxa"/>
            <w:gridSpan w:val="2"/>
            <w:vAlign w:val="center"/>
          </w:tcPr>
          <w:p w14:paraId="78664810">
            <w:pPr>
              <w:jc w:val="center"/>
              <w:rPr>
                <w:rFonts w:hint="eastAsia" w:ascii="仿宋" w:hAnsi="仿宋" w:eastAsia="仿宋" w:cs="仿宋"/>
                <w:kern w:val="0"/>
                <w:sz w:val="24"/>
                <w:szCs w:val="24"/>
              </w:rPr>
            </w:pPr>
            <w:r>
              <w:rPr>
                <w:rFonts w:hint="eastAsia" w:ascii="仿宋" w:hAnsi="仿宋" w:eastAsia="仿宋" w:cs="仿宋"/>
                <w:sz w:val="24"/>
                <w:szCs w:val="24"/>
              </w:rPr>
              <w:t>专业</w:t>
            </w:r>
          </w:p>
        </w:tc>
        <w:tc>
          <w:tcPr>
            <w:tcW w:w="1272" w:type="dxa"/>
            <w:vAlign w:val="center"/>
          </w:tcPr>
          <w:p w14:paraId="3463CABC">
            <w:pPr>
              <w:jc w:val="center"/>
              <w:rPr>
                <w:rFonts w:hint="eastAsia" w:ascii="仿宋" w:hAnsi="仿宋" w:eastAsia="仿宋" w:cs="仿宋"/>
                <w:kern w:val="0"/>
                <w:sz w:val="24"/>
                <w:szCs w:val="24"/>
              </w:rPr>
            </w:pPr>
            <w:r>
              <w:rPr>
                <w:rFonts w:hint="eastAsia" w:ascii="仿宋" w:hAnsi="仿宋" w:eastAsia="仿宋" w:cs="仿宋"/>
                <w:sz w:val="24"/>
                <w:szCs w:val="24"/>
              </w:rPr>
              <w:t>职称</w:t>
            </w:r>
          </w:p>
        </w:tc>
        <w:tc>
          <w:tcPr>
            <w:tcW w:w="1606" w:type="dxa"/>
            <w:vAlign w:val="center"/>
          </w:tcPr>
          <w:p w14:paraId="3BB27D20">
            <w:pPr>
              <w:jc w:val="center"/>
              <w:rPr>
                <w:rFonts w:hint="eastAsia" w:ascii="仿宋" w:hAnsi="仿宋" w:eastAsia="仿宋" w:cs="仿宋"/>
                <w:kern w:val="0"/>
                <w:sz w:val="24"/>
                <w:szCs w:val="24"/>
              </w:rPr>
            </w:pPr>
            <w:r>
              <w:rPr>
                <w:rFonts w:hint="eastAsia" w:ascii="仿宋" w:hAnsi="仿宋" w:eastAsia="仿宋" w:cs="仿宋"/>
                <w:sz w:val="24"/>
                <w:szCs w:val="24"/>
              </w:rPr>
              <w:t>工作单位</w:t>
            </w:r>
          </w:p>
        </w:tc>
        <w:tc>
          <w:tcPr>
            <w:tcW w:w="1282" w:type="dxa"/>
            <w:gridSpan w:val="2"/>
            <w:vAlign w:val="center"/>
          </w:tcPr>
          <w:p w14:paraId="3060F3DD">
            <w:pPr>
              <w:jc w:val="center"/>
              <w:rPr>
                <w:rFonts w:hint="eastAsia" w:ascii="仿宋" w:hAnsi="仿宋" w:eastAsia="仿宋" w:cs="仿宋"/>
                <w:kern w:val="0"/>
                <w:sz w:val="24"/>
                <w:szCs w:val="24"/>
              </w:rPr>
            </w:pPr>
            <w:r>
              <w:rPr>
                <w:rFonts w:hint="eastAsia" w:ascii="仿宋" w:hAnsi="仿宋" w:eastAsia="仿宋" w:cs="仿宋"/>
                <w:sz w:val="24"/>
                <w:szCs w:val="24"/>
              </w:rPr>
              <w:t>联系电话</w:t>
            </w:r>
          </w:p>
        </w:tc>
        <w:tc>
          <w:tcPr>
            <w:tcW w:w="1287" w:type="dxa"/>
            <w:vAlign w:val="center"/>
          </w:tcPr>
          <w:p w14:paraId="004B7F95">
            <w:pPr>
              <w:jc w:val="center"/>
              <w:rPr>
                <w:rFonts w:hint="eastAsia" w:ascii="仿宋" w:hAnsi="仿宋" w:eastAsia="仿宋" w:cs="仿宋"/>
                <w:kern w:val="0"/>
                <w:sz w:val="24"/>
                <w:szCs w:val="24"/>
              </w:rPr>
            </w:pPr>
            <w:r>
              <w:rPr>
                <w:rFonts w:hint="eastAsia" w:ascii="仿宋" w:hAnsi="仿宋" w:eastAsia="仿宋" w:cs="仿宋"/>
                <w:sz w:val="24"/>
                <w:szCs w:val="24"/>
              </w:rPr>
              <w:t>专家签名</w:t>
            </w:r>
          </w:p>
        </w:tc>
      </w:tr>
      <w:tr w14:paraId="1830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9" w:type="dxa"/>
            <w:vMerge w:val="continue"/>
          </w:tcPr>
          <w:p w14:paraId="091F10E7">
            <w:pPr>
              <w:rPr>
                <w:rFonts w:hint="eastAsia" w:ascii="仿宋" w:hAnsi="仿宋" w:eastAsia="仿宋"/>
                <w:kern w:val="0"/>
                <w:sz w:val="28"/>
                <w:szCs w:val="28"/>
              </w:rPr>
            </w:pPr>
          </w:p>
        </w:tc>
        <w:tc>
          <w:tcPr>
            <w:tcW w:w="1027" w:type="dxa"/>
            <w:vAlign w:val="center"/>
          </w:tcPr>
          <w:p w14:paraId="1AD2C4AB">
            <w:pPr>
              <w:jc w:val="center"/>
              <w:rPr>
                <w:rFonts w:hint="eastAsia" w:eastAsia="宋体"/>
                <w:lang w:val="en-US" w:eastAsia="zh-CN"/>
              </w:rPr>
            </w:pPr>
            <w:r>
              <w:rPr>
                <w:rFonts w:hint="eastAsia"/>
                <w:lang w:val="en-US" w:eastAsia="zh-CN"/>
              </w:rPr>
              <w:t>林向义</w:t>
            </w:r>
          </w:p>
        </w:tc>
        <w:tc>
          <w:tcPr>
            <w:tcW w:w="1451" w:type="dxa"/>
            <w:gridSpan w:val="2"/>
            <w:vAlign w:val="center"/>
          </w:tcPr>
          <w:p w14:paraId="69995CA3">
            <w:pPr>
              <w:jc w:val="center"/>
              <w:rPr>
                <w:rFonts w:hint="eastAsia" w:eastAsia="宋体"/>
                <w:lang w:val="en-US" w:eastAsia="zh-CN"/>
              </w:rPr>
            </w:pPr>
            <w:r>
              <w:rPr>
                <w:rFonts w:hint="eastAsia"/>
                <w:lang w:val="en-US" w:eastAsia="zh-CN"/>
              </w:rPr>
              <w:t>金融学</w:t>
            </w:r>
          </w:p>
        </w:tc>
        <w:tc>
          <w:tcPr>
            <w:tcW w:w="1272" w:type="dxa"/>
            <w:vAlign w:val="center"/>
          </w:tcPr>
          <w:p w14:paraId="123139C0">
            <w:pPr>
              <w:jc w:val="center"/>
              <w:rPr>
                <w:rFonts w:hint="eastAsia" w:eastAsia="宋体"/>
                <w:lang w:val="en-US" w:eastAsia="zh-CN"/>
              </w:rPr>
            </w:pPr>
            <w:r>
              <w:rPr>
                <w:rFonts w:hint="eastAsia"/>
                <w:lang w:val="en-US" w:eastAsia="zh-CN"/>
              </w:rPr>
              <w:t>教授</w:t>
            </w:r>
          </w:p>
        </w:tc>
        <w:tc>
          <w:tcPr>
            <w:tcW w:w="1606" w:type="dxa"/>
            <w:vAlign w:val="center"/>
          </w:tcPr>
          <w:p w14:paraId="0D767E4C">
            <w:pPr>
              <w:jc w:val="center"/>
              <w:rPr>
                <w:rFonts w:hint="eastAsia" w:eastAsia="宋体"/>
                <w:lang w:val="en-US" w:eastAsia="zh-CN"/>
              </w:rPr>
            </w:pPr>
            <w:bookmarkStart w:id="1" w:name="OLE_LINK1"/>
            <w:r>
              <w:rPr>
                <w:rFonts w:hint="eastAsia"/>
                <w:lang w:val="en-US" w:eastAsia="zh-CN"/>
              </w:rPr>
              <w:t>衢州学院</w:t>
            </w:r>
            <w:bookmarkEnd w:id="1"/>
          </w:p>
        </w:tc>
        <w:tc>
          <w:tcPr>
            <w:tcW w:w="1282" w:type="dxa"/>
            <w:gridSpan w:val="2"/>
            <w:vAlign w:val="center"/>
          </w:tcPr>
          <w:p w14:paraId="01EA9316">
            <w:pPr>
              <w:jc w:val="center"/>
              <w:rPr>
                <w:rFonts w:hint="default" w:eastAsia="宋体"/>
                <w:lang w:val="en-US" w:eastAsia="zh-CN"/>
              </w:rPr>
            </w:pPr>
            <w:r>
              <w:rPr>
                <w:rFonts w:hint="eastAsia"/>
                <w:lang w:val="en-US" w:eastAsia="zh-CN"/>
              </w:rPr>
              <w:t>13836812468</w:t>
            </w:r>
          </w:p>
        </w:tc>
        <w:tc>
          <w:tcPr>
            <w:tcW w:w="1287" w:type="dxa"/>
            <w:vAlign w:val="center"/>
          </w:tcPr>
          <w:p w14:paraId="532F2846">
            <w:pPr>
              <w:jc w:val="center"/>
              <w:rPr>
                <w:rFonts w:hint="eastAsia" w:eastAsia="宋体"/>
                <w:lang w:eastAsia="zh-CN"/>
              </w:rPr>
            </w:pPr>
            <w:r>
              <w:rPr>
                <w:rFonts w:hint="default" w:ascii="仿宋" w:hAnsi="仿宋" w:eastAsia="仿宋"/>
                <w:kern w:val="0"/>
                <w:sz w:val="28"/>
                <w:szCs w:val="28"/>
                <w:u w:val="none"/>
                <w:lang w:val="en-US" w:eastAsia="zh-CN"/>
              </w:rPr>
              <w:drawing>
                <wp:inline distT="0" distB="0" distL="114300" distR="114300">
                  <wp:extent cx="528955" cy="288290"/>
                  <wp:effectExtent l="0" t="0" r="4445" b="6985"/>
                  <wp:docPr id="4" name="图片 4" descr="林院电子签名调整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院电子签名调整版"/>
                          <pic:cNvPicPr>
                            <a:picLocks noChangeAspect="1"/>
                          </pic:cNvPicPr>
                        </pic:nvPicPr>
                        <pic:blipFill>
                          <a:blip r:embed="rId4"/>
                          <a:stretch>
                            <a:fillRect/>
                          </a:stretch>
                        </pic:blipFill>
                        <pic:spPr>
                          <a:xfrm>
                            <a:off x="0" y="0"/>
                            <a:ext cx="528955" cy="288290"/>
                          </a:xfrm>
                          <a:prstGeom prst="rect">
                            <a:avLst/>
                          </a:prstGeom>
                        </pic:spPr>
                      </pic:pic>
                    </a:graphicData>
                  </a:graphic>
                </wp:inline>
              </w:drawing>
            </w:r>
          </w:p>
        </w:tc>
      </w:tr>
      <w:tr w14:paraId="0214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9" w:type="dxa"/>
            <w:vMerge w:val="continue"/>
          </w:tcPr>
          <w:p w14:paraId="5C3B00CE">
            <w:pPr>
              <w:rPr>
                <w:rFonts w:hint="eastAsia" w:ascii="仿宋" w:hAnsi="仿宋" w:eastAsia="仿宋"/>
                <w:kern w:val="0"/>
                <w:sz w:val="28"/>
                <w:szCs w:val="28"/>
              </w:rPr>
            </w:pPr>
          </w:p>
        </w:tc>
        <w:tc>
          <w:tcPr>
            <w:tcW w:w="1027" w:type="dxa"/>
            <w:vAlign w:val="center"/>
          </w:tcPr>
          <w:p w14:paraId="0E06C439">
            <w:pPr>
              <w:jc w:val="center"/>
              <w:rPr>
                <w:rFonts w:hint="eastAsia" w:eastAsia="宋体"/>
                <w:lang w:val="en-US" w:eastAsia="zh-CN"/>
              </w:rPr>
            </w:pPr>
            <w:r>
              <w:rPr>
                <w:rFonts w:hint="eastAsia"/>
                <w:lang w:val="en-US" w:eastAsia="zh-CN"/>
              </w:rPr>
              <w:t>陈维国</w:t>
            </w:r>
          </w:p>
        </w:tc>
        <w:tc>
          <w:tcPr>
            <w:tcW w:w="1451" w:type="dxa"/>
            <w:gridSpan w:val="2"/>
            <w:vAlign w:val="center"/>
          </w:tcPr>
          <w:p w14:paraId="198DCF8C">
            <w:pPr>
              <w:jc w:val="center"/>
              <w:rPr>
                <w:rFonts w:hint="eastAsia" w:eastAsia="宋体"/>
                <w:lang w:val="en-US" w:eastAsia="zh-CN"/>
              </w:rPr>
            </w:pPr>
            <w:r>
              <w:rPr>
                <w:rFonts w:hint="eastAsia"/>
                <w:lang w:val="en-US" w:eastAsia="zh-CN"/>
              </w:rPr>
              <w:t>经济学</w:t>
            </w:r>
          </w:p>
        </w:tc>
        <w:tc>
          <w:tcPr>
            <w:tcW w:w="1272" w:type="dxa"/>
            <w:vAlign w:val="center"/>
          </w:tcPr>
          <w:p w14:paraId="7C159FF4">
            <w:pPr>
              <w:jc w:val="center"/>
              <w:rPr>
                <w:rFonts w:hint="eastAsia" w:eastAsia="宋体"/>
                <w:lang w:val="en-US" w:eastAsia="zh-CN"/>
              </w:rPr>
            </w:pPr>
            <w:r>
              <w:rPr>
                <w:rFonts w:hint="eastAsia"/>
                <w:lang w:val="en-US" w:eastAsia="zh-CN"/>
              </w:rPr>
              <w:t>副教授</w:t>
            </w:r>
          </w:p>
        </w:tc>
        <w:tc>
          <w:tcPr>
            <w:tcW w:w="1606" w:type="dxa"/>
            <w:vAlign w:val="center"/>
          </w:tcPr>
          <w:p w14:paraId="7455CDDE">
            <w:pPr>
              <w:jc w:val="center"/>
              <w:rPr>
                <w:rFonts w:hint="eastAsia"/>
              </w:rPr>
            </w:pPr>
            <w:r>
              <w:rPr>
                <w:rFonts w:hint="eastAsia"/>
                <w:lang w:val="en-US" w:eastAsia="zh-CN"/>
              </w:rPr>
              <w:t>衢州学院</w:t>
            </w:r>
          </w:p>
        </w:tc>
        <w:tc>
          <w:tcPr>
            <w:tcW w:w="1282" w:type="dxa"/>
            <w:gridSpan w:val="2"/>
            <w:vAlign w:val="center"/>
          </w:tcPr>
          <w:p w14:paraId="00FF7424">
            <w:pPr>
              <w:jc w:val="center"/>
              <w:rPr>
                <w:rFonts w:hint="default" w:eastAsia="宋体"/>
                <w:lang w:val="en-US" w:eastAsia="zh-CN"/>
              </w:rPr>
            </w:pPr>
            <w:r>
              <w:rPr>
                <w:rFonts w:hint="eastAsia"/>
                <w:lang w:val="en-US" w:eastAsia="zh-CN"/>
              </w:rPr>
              <w:t>13083948896</w:t>
            </w:r>
          </w:p>
        </w:tc>
        <w:tc>
          <w:tcPr>
            <w:tcW w:w="1287" w:type="dxa"/>
            <w:vAlign w:val="center"/>
          </w:tcPr>
          <w:p w14:paraId="1E448183">
            <w:pPr>
              <w:jc w:val="center"/>
              <w:rPr>
                <w:rFonts w:hint="eastAsia"/>
              </w:rPr>
            </w:pPr>
            <w:r>
              <w:rPr>
                <w:rFonts w:hint="eastAsia" w:eastAsia="宋体"/>
                <w:lang w:eastAsia="zh-CN"/>
              </w:rPr>
              <w:drawing>
                <wp:inline distT="0" distB="0" distL="114300" distR="114300">
                  <wp:extent cx="332105" cy="223520"/>
                  <wp:effectExtent l="0" t="0" r="1270" b="5080"/>
                  <wp:docPr id="2" name="图片 2" descr="陈维国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陈维国签名"/>
                          <pic:cNvPicPr>
                            <a:picLocks noChangeAspect="1"/>
                          </pic:cNvPicPr>
                        </pic:nvPicPr>
                        <pic:blipFill>
                          <a:blip r:embed="rId5"/>
                          <a:stretch>
                            <a:fillRect/>
                          </a:stretch>
                        </pic:blipFill>
                        <pic:spPr>
                          <a:xfrm>
                            <a:off x="0" y="0"/>
                            <a:ext cx="332105" cy="223520"/>
                          </a:xfrm>
                          <a:prstGeom prst="rect">
                            <a:avLst/>
                          </a:prstGeom>
                        </pic:spPr>
                      </pic:pic>
                    </a:graphicData>
                  </a:graphic>
                </wp:inline>
              </w:drawing>
            </w:r>
          </w:p>
        </w:tc>
      </w:tr>
      <w:tr w14:paraId="2E43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99" w:type="dxa"/>
            <w:vMerge w:val="continue"/>
          </w:tcPr>
          <w:p w14:paraId="39A36814">
            <w:pPr>
              <w:rPr>
                <w:rFonts w:hint="eastAsia" w:ascii="仿宋" w:hAnsi="仿宋" w:eastAsia="仿宋"/>
                <w:kern w:val="0"/>
                <w:sz w:val="28"/>
                <w:szCs w:val="28"/>
              </w:rPr>
            </w:pPr>
          </w:p>
        </w:tc>
        <w:tc>
          <w:tcPr>
            <w:tcW w:w="1027" w:type="dxa"/>
            <w:vAlign w:val="center"/>
          </w:tcPr>
          <w:p w14:paraId="047BEA85">
            <w:pPr>
              <w:jc w:val="center"/>
              <w:rPr>
                <w:rFonts w:hint="eastAsia" w:eastAsia="宋体"/>
                <w:lang w:val="en-US" w:eastAsia="zh-CN"/>
              </w:rPr>
            </w:pPr>
            <w:r>
              <w:rPr>
                <w:rFonts w:hint="eastAsia"/>
                <w:lang w:val="en-US" w:eastAsia="zh-CN"/>
              </w:rPr>
              <w:t>冯美芳</w:t>
            </w:r>
          </w:p>
        </w:tc>
        <w:tc>
          <w:tcPr>
            <w:tcW w:w="1451" w:type="dxa"/>
            <w:gridSpan w:val="2"/>
            <w:vAlign w:val="center"/>
          </w:tcPr>
          <w:p w14:paraId="27B98F24">
            <w:pPr>
              <w:jc w:val="center"/>
              <w:rPr>
                <w:rFonts w:hint="eastAsia" w:eastAsia="宋体"/>
                <w:lang w:val="en-US" w:eastAsia="zh-CN"/>
              </w:rPr>
            </w:pPr>
            <w:r>
              <w:rPr>
                <w:rFonts w:hint="eastAsia"/>
                <w:lang w:val="en-US" w:eastAsia="zh-CN"/>
              </w:rPr>
              <w:t>金融学</w:t>
            </w:r>
          </w:p>
        </w:tc>
        <w:tc>
          <w:tcPr>
            <w:tcW w:w="1272" w:type="dxa"/>
            <w:vAlign w:val="center"/>
          </w:tcPr>
          <w:p w14:paraId="3128CBD0">
            <w:pPr>
              <w:jc w:val="center"/>
              <w:rPr>
                <w:rFonts w:hint="eastAsia" w:eastAsia="宋体"/>
                <w:lang w:val="en-US" w:eastAsia="zh-CN"/>
              </w:rPr>
            </w:pPr>
            <w:r>
              <w:rPr>
                <w:rFonts w:hint="eastAsia"/>
                <w:lang w:val="en-US" w:eastAsia="zh-CN"/>
              </w:rPr>
              <w:t>讲师</w:t>
            </w:r>
          </w:p>
        </w:tc>
        <w:tc>
          <w:tcPr>
            <w:tcW w:w="1606" w:type="dxa"/>
            <w:vAlign w:val="center"/>
          </w:tcPr>
          <w:p w14:paraId="35B0C5B2">
            <w:pPr>
              <w:jc w:val="center"/>
              <w:rPr>
                <w:rFonts w:hint="eastAsia"/>
              </w:rPr>
            </w:pPr>
            <w:r>
              <w:rPr>
                <w:rFonts w:hint="eastAsia"/>
                <w:lang w:val="en-US" w:eastAsia="zh-CN"/>
              </w:rPr>
              <w:t>衢州学院</w:t>
            </w:r>
          </w:p>
        </w:tc>
        <w:tc>
          <w:tcPr>
            <w:tcW w:w="1282" w:type="dxa"/>
            <w:gridSpan w:val="2"/>
            <w:vAlign w:val="center"/>
          </w:tcPr>
          <w:p w14:paraId="16F237B6">
            <w:pPr>
              <w:jc w:val="center"/>
              <w:rPr>
                <w:rFonts w:hint="default" w:eastAsia="宋体"/>
                <w:lang w:val="en-US" w:eastAsia="zh-CN"/>
              </w:rPr>
            </w:pPr>
            <w:r>
              <w:rPr>
                <w:rFonts w:hint="eastAsia"/>
                <w:lang w:val="en-US" w:eastAsia="zh-CN"/>
              </w:rPr>
              <w:t>13920111381</w:t>
            </w:r>
          </w:p>
        </w:tc>
        <w:tc>
          <w:tcPr>
            <w:tcW w:w="1287" w:type="dxa"/>
            <w:vAlign w:val="center"/>
          </w:tcPr>
          <w:p w14:paraId="5909BDDA">
            <w:pPr>
              <w:jc w:val="center"/>
              <w:rPr>
                <w:rFonts w:hint="eastAsia" w:eastAsia="宋体"/>
                <w:lang w:eastAsia="zh-CN"/>
              </w:rPr>
            </w:pPr>
            <w:r>
              <w:rPr>
                <w:rFonts w:hint="eastAsia" w:eastAsia="宋体"/>
                <w:lang w:eastAsia="zh-CN"/>
              </w:rPr>
              <w:drawing>
                <wp:inline distT="0" distB="0" distL="114300" distR="114300">
                  <wp:extent cx="623570" cy="371475"/>
                  <wp:effectExtent l="0" t="0" r="0" b="0"/>
                  <wp:docPr id="3" name="图片 3" descr="美芳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美芳签名"/>
                          <pic:cNvPicPr>
                            <a:picLocks noChangeAspect="1"/>
                          </pic:cNvPicPr>
                        </pic:nvPicPr>
                        <pic:blipFill>
                          <a:blip r:embed="rId6"/>
                          <a:srcRect l="13372" t="13829" r="23191" b="19314"/>
                          <a:stretch>
                            <a:fillRect/>
                          </a:stretch>
                        </pic:blipFill>
                        <pic:spPr>
                          <a:xfrm>
                            <a:off x="0" y="0"/>
                            <a:ext cx="623570" cy="371475"/>
                          </a:xfrm>
                          <a:prstGeom prst="rect">
                            <a:avLst/>
                          </a:prstGeom>
                        </pic:spPr>
                      </pic:pic>
                    </a:graphicData>
                  </a:graphic>
                </wp:inline>
              </w:drawing>
            </w:r>
          </w:p>
        </w:tc>
      </w:tr>
    </w:tbl>
    <w:p w14:paraId="7D2B70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2776DF"/>
    <w:rsid w:val="00135674"/>
    <w:rsid w:val="001F594B"/>
    <w:rsid w:val="002776DF"/>
    <w:rsid w:val="00654952"/>
    <w:rsid w:val="00B939C5"/>
    <w:rsid w:val="00D80AA7"/>
    <w:rsid w:val="060663F2"/>
    <w:rsid w:val="138752D4"/>
    <w:rsid w:val="221824EF"/>
    <w:rsid w:val="42A43115"/>
    <w:rsid w:val="51F56FFE"/>
    <w:rsid w:val="73A227FF"/>
    <w:rsid w:val="76C7316E"/>
    <w:rsid w:val="77A4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111</Words>
  <Characters>111</Characters>
  <Lines>1</Lines>
  <Paragraphs>1</Paragraphs>
  <TotalTime>56</TotalTime>
  <ScaleCrop>false</ScaleCrop>
  <LinksUpToDate>false</LinksUpToDate>
  <CharactersWithSpaces>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2021-03-17T05:50:00Z</dcterms:created>
  <dc:creator>Administrator</dc:creator>
  <cp:lastModifiedBy>Audreysun</cp:lastModifiedBy>
  <dcterms:modified xsi:type="dcterms:W3CDTF">2026-04-02T07:05:39Z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934FF9F4DEB84E26A9D01DAB8901D010_13</vt:lpwstr>
  </property>
</Properties>
</file>